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Arial"/>
          <w:color w:val="333333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sz w:val="32"/>
          <w:szCs w:val="32"/>
        </w:rPr>
        <w:t>附件6</w:t>
      </w:r>
    </w:p>
    <w:p>
      <w:pPr>
        <w:spacing w:line="560" w:lineRule="exact"/>
        <w:ind w:firstLine="660" w:firstLineChars="150"/>
        <w:jc w:val="center"/>
        <w:rPr>
          <w:rFonts w:ascii="方正小标宋简体" w:hAnsi="仿宋" w:eastAsia="方正小标宋简体" w:cs="Arial"/>
          <w:color w:val="333333"/>
          <w:sz w:val="44"/>
          <w:szCs w:val="44"/>
        </w:rPr>
      </w:pPr>
      <w:r>
        <w:rPr>
          <w:rFonts w:hint="eastAsia" w:ascii="方正小标宋简体" w:hAnsi="仿宋" w:eastAsia="方正小标宋简体" w:cs="Arial"/>
          <w:color w:val="333333"/>
          <w:sz w:val="44"/>
          <w:szCs w:val="44"/>
        </w:rPr>
        <w:t>北京市文物局十四五期间</w:t>
      </w:r>
    </w:p>
    <w:p>
      <w:pPr>
        <w:spacing w:line="560" w:lineRule="exact"/>
        <w:ind w:firstLine="660" w:firstLineChars="150"/>
        <w:jc w:val="center"/>
        <w:rPr>
          <w:rFonts w:ascii="方正小标宋简体" w:hAnsi="仿宋" w:eastAsia="方正小标宋简体" w:cs="Arial"/>
          <w:color w:val="333333"/>
          <w:sz w:val="44"/>
          <w:szCs w:val="44"/>
        </w:rPr>
      </w:pPr>
      <w:r>
        <w:rPr>
          <w:rFonts w:hint="eastAsia" w:ascii="方正小标宋简体" w:hAnsi="仿宋" w:eastAsia="方正小标宋简体" w:cs="Arial"/>
          <w:color w:val="333333"/>
          <w:sz w:val="44"/>
          <w:szCs w:val="44"/>
        </w:rPr>
        <w:t>科普工作发展设想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一、指导思想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坚持以习近平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新时代中国特色社会主义思想为指导，</w:t>
      </w:r>
      <w:r>
        <w:rPr>
          <w:rFonts w:hint="eastAsia" w:ascii="仿宋_GB2312" w:hAnsi="Calibri" w:eastAsia="仿宋_GB2312" w:cs="Calibri"/>
          <w:sz w:val="32"/>
          <w:szCs w:val="32"/>
        </w:rPr>
        <w:t>深入贯彻落实党的十九大和十九届二中、三中、四中、五中全会精神</w:t>
      </w:r>
      <w:r>
        <w:rPr>
          <w:rFonts w:hint="eastAsia" w:ascii="仿宋" w:hAnsi="仿宋" w:eastAsia="仿宋" w:cs="Times New Roman"/>
          <w:sz w:val="32"/>
          <w:szCs w:val="32"/>
        </w:rPr>
        <w:t>和习近平总书记系列重要讲话精神，牢固树立“创新、协调、绿色、开放、共享”的发展理念。扎实推进创新驱动发展战略</w:t>
      </w:r>
      <w:r>
        <w:rPr>
          <w:rFonts w:hint="eastAsia" w:ascii="仿宋" w:hAnsi="仿宋" w:eastAsia="仿宋"/>
          <w:sz w:val="32"/>
          <w:szCs w:val="32"/>
        </w:rPr>
        <w:t>和全国科技创新中心、文化中心建设，落实</w:t>
      </w:r>
      <w:r>
        <w:rPr>
          <w:rFonts w:hint="eastAsia" w:ascii="仿宋" w:hAnsi="仿宋" w:eastAsia="仿宋" w:cs="仿宋_GB2312"/>
          <w:sz w:val="32"/>
          <w:szCs w:val="32"/>
        </w:rPr>
        <w:t>《中华人民共和国科学技术普及法》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《北京市科学技术普及条例》的相关要求，</w:t>
      </w:r>
      <w:r>
        <w:rPr>
          <w:rFonts w:hint="eastAsia" w:ascii="仿宋" w:hAnsi="仿宋" w:eastAsia="仿宋"/>
          <w:sz w:val="32"/>
          <w:szCs w:val="32"/>
        </w:rPr>
        <w:t>以科技创新推动优秀历史文化的传承与应用，</w:t>
      </w:r>
      <w:r>
        <w:rPr>
          <w:rFonts w:hint="eastAsia" w:ascii="仿宋" w:hAnsi="仿宋" w:eastAsia="仿宋" w:cs="Times New Roman"/>
          <w:sz w:val="32"/>
          <w:szCs w:val="32"/>
        </w:rPr>
        <w:t>坚持“政府引导、社会参与、创新引领、共享发展”的工作方针。提高工作站位，以普及优秀文化，弘扬科学精神，传播科学文化思想，提升公民科学素质为目标，</w:t>
      </w:r>
      <w:r>
        <w:rPr>
          <w:rFonts w:hint="eastAsia" w:ascii="仿宋" w:hAnsi="仿宋" w:eastAsia="仿宋" w:cs="Arial"/>
          <w:color w:val="333333"/>
          <w:sz w:val="32"/>
          <w:szCs w:val="32"/>
        </w:rPr>
        <w:t>围绕“一轴一城、两园三带、一区一中心”等文博事业的核心重点工作，</w:t>
      </w:r>
      <w:r>
        <w:rPr>
          <w:rFonts w:hint="eastAsia" w:ascii="仿宋" w:hAnsi="仿宋" w:eastAsia="仿宋"/>
          <w:sz w:val="32"/>
          <w:szCs w:val="32"/>
        </w:rPr>
        <w:t>进一步推进科技与历史文化传承相结合，深入挖掘优秀历史文化内涵，秉承“引进来，走出去”原则，</w:t>
      </w:r>
      <w:r>
        <w:rPr>
          <w:rFonts w:hint="eastAsia" w:ascii="仿宋" w:hAnsi="仿宋" w:eastAsia="仿宋" w:cs="Arial"/>
          <w:color w:val="333333"/>
          <w:sz w:val="32"/>
          <w:szCs w:val="32"/>
        </w:rPr>
        <w:t>全方位推进文博单位科普工作。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始终</w:t>
      </w:r>
      <w:r>
        <w:rPr>
          <w:rFonts w:hint="eastAsia" w:ascii="仿宋" w:hAnsi="仿宋" w:eastAsia="仿宋" w:cs="Arial"/>
          <w:color w:val="333333"/>
          <w:sz w:val="32"/>
          <w:szCs w:val="32"/>
        </w:rPr>
        <w:t>坚持以人民为中心的工作导向，服务首都社会发展大局，本着对历史负责、对人民负责的态度，弘扬科学精神，传承历史文脉；发挥博物馆、文物保护单位的资源优势，面向社会公众开展丰富多彩的科普教育活动，提供高质量的文化产品，开启文化科技传播的新征程，全面提升全民科学素养，为强化“首都风范、古都风韵、时代风貌”的城市特色赋能添彩，更好的满足人民群众美好生活的需要，提高人民的获得感、幸福感、安全感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二．发展目标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着力构建与文博行业相适应的文化科学传播体系,科普工作精准性实效性进一步增强；科普工作专业化水平有效提升；有效开展线上科普活动，线上线下有机整合，科普形式内容更加丰富；探索科普创新合作机制，推进科普资源共享；科普基础设施建设水平实现整体跃升；培养壮大科普工作人才队伍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三、工作计划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加强科普场馆建设。以首都博物馆东馆、北京市大葆台西汉墓博物馆的建设改造为抓手，全面提升局系统文博单位尤其是科普教育基地科普场地的基础设施、设备水平，采用新技术手段增强科普宣传活动的亲和力，提高科普服务能力，吸引更多公众走进文博单位。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加强科普教育基地建设。推进科普教育基地的申报工作，引导局系统具备条件的单位积极申报科普教育基地，扩大局系统科普教育基地的规模。积极申请科协及其它社会单位科普资金支持。加强文博单位展览陈列与科学普及工作的有机结合，展陈策划要将科普内容纳入项目大纲，增加互动展示内容，利用数字化新媒体技术，营造良好的交互场景，为公众提供视觉、触觉等多维度的浸入式文化参观体验。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拓展视野、创新形式。引导国有博物馆与社会文化传播研究机构、社会科普团体的合作，建立合作创新、联动机制。依托文物及场地优势，调动市场积极性，借助社会力量丰富文博单位科普宣传活动,在开发创制文博单位科普内容和引进科普展宣活动方面开创新局面。多渠道、多层次、多角度推广普及科技惠民成果，提高百姓爱科学意识、学科学能力、用科学水平。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坚持科研与科普结合。结合局系统科研课题开展情况，梳理课题成果，推动科学研究与科学普及的相互衔接与渗透，挖掘科研基地、科研课题、标准化工作的科普资源，支持科研工作者将最新通用性研究成果转化为科普产品，鼓励科研人员担任科普导师，吸引公众关注文物保护科技的发展,了解文博领域的科技应用与创新，营造良好的创新、普及氛围。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引导局系统文博单位科研科普业务人员开展科普文章、微视频等“小快灵”形式的科普创作，汇集优秀作品，统一发布。丰富整合全系统科普资源，推进“互联网+科普”的文化科技传播体系建设，打造文物系统科普资源库，提升科普资源利用效率。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重视科普人才培养。加强文博单位专兼职科普队伍、志愿者队伍建设，优化人才发展环境，壮大科普人才队伍规模。健全文博人才引进、评价、使用、激励机制，以能力素质建设为核心，引进科普专业化人才，强化科普创作、传播业务培训，突出专业化和实用性，培养创作型科普人才，提升科普队伍专业化水平，提高文博单位科学普及服务水平。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 xml:space="preserve">                              二〇二一年二月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0036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iYmMzMGFkOGVjNDFkYzY2NDA5NWU5OTllNWQwNWMifQ=="/>
  </w:docVars>
  <w:rsids>
    <w:rsidRoot w:val="00E52788"/>
    <w:rsid w:val="0001474B"/>
    <w:rsid w:val="000309CA"/>
    <w:rsid w:val="00063117"/>
    <w:rsid w:val="000975D1"/>
    <w:rsid w:val="000F0D20"/>
    <w:rsid w:val="000F502F"/>
    <w:rsid w:val="00123AD7"/>
    <w:rsid w:val="00173147"/>
    <w:rsid w:val="001E601E"/>
    <w:rsid w:val="001F387B"/>
    <w:rsid w:val="00202EFF"/>
    <w:rsid w:val="00207992"/>
    <w:rsid w:val="00257447"/>
    <w:rsid w:val="002A073F"/>
    <w:rsid w:val="002A4F6C"/>
    <w:rsid w:val="002F3641"/>
    <w:rsid w:val="00350755"/>
    <w:rsid w:val="00383E59"/>
    <w:rsid w:val="003D1559"/>
    <w:rsid w:val="00437027"/>
    <w:rsid w:val="00437036"/>
    <w:rsid w:val="004D2B46"/>
    <w:rsid w:val="00590E4C"/>
    <w:rsid w:val="006412EF"/>
    <w:rsid w:val="006531A1"/>
    <w:rsid w:val="006D0316"/>
    <w:rsid w:val="007B3DBB"/>
    <w:rsid w:val="008467D9"/>
    <w:rsid w:val="008612CF"/>
    <w:rsid w:val="00883B73"/>
    <w:rsid w:val="008873A6"/>
    <w:rsid w:val="008A5C83"/>
    <w:rsid w:val="008E0B80"/>
    <w:rsid w:val="00985F31"/>
    <w:rsid w:val="00A5526E"/>
    <w:rsid w:val="00AB5732"/>
    <w:rsid w:val="00AC4FB5"/>
    <w:rsid w:val="00AD5F4B"/>
    <w:rsid w:val="00B7517D"/>
    <w:rsid w:val="00B81A1C"/>
    <w:rsid w:val="00B869D6"/>
    <w:rsid w:val="00BF4DC9"/>
    <w:rsid w:val="00C306FF"/>
    <w:rsid w:val="00C90436"/>
    <w:rsid w:val="00CB515D"/>
    <w:rsid w:val="00CC138B"/>
    <w:rsid w:val="00DD5297"/>
    <w:rsid w:val="00DD6105"/>
    <w:rsid w:val="00E119D3"/>
    <w:rsid w:val="00E1396C"/>
    <w:rsid w:val="00E47C13"/>
    <w:rsid w:val="00E52788"/>
    <w:rsid w:val="00E83D4B"/>
    <w:rsid w:val="00F33A02"/>
    <w:rsid w:val="00F64DC6"/>
    <w:rsid w:val="00FE09CF"/>
    <w:rsid w:val="33494C03"/>
    <w:rsid w:val="4987746E"/>
    <w:rsid w:val="75B4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6C0D0-61D5-48A5-894E-836424A6BF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北京市文物局</Company>
  <Pages>3</Pages>
  <Words>1597</Words>
  <Characters>1597</Characters>
  <Lines>11</Lines>
  <Paragraphs>3</Paragraphs>
  <TotalTime>418</TotalTime>
  <ScaleCrop>false</ScaleCrop>
  <LinksUpToDate>false</LinksUpToDate>
  <CharactersWithSpaces>1627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2021-01-21T01:05:00Z</dcterms:created>
  <dc:creator>孟德兴</dc:creator>
  <cp:lastModifiedBy>Mr.Lr</cp:lastModifiedBy>
  <cp:lastPrinted>2021-02-23T01:23:00Z</cp:lastPrinted>
  <dcterms:modified xsi:type="dcterms:W3CDTF">2023-05-16T07:12:31Z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3A983524E8FA4847BBA73D5B0BBAFBD9_12</vt:lpwstr>
  </property>
</Properties>
</file>