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ind w:firstLine="3600" w:firstLineChars="500"/>
        <w:jc w:val="both"/>
        <w:rPr>
          <w:rFonts w:hint="eastAsia" w:ascii="黑体" w:eastAsia="黑体"/>
          <w:sz w:val="72"/>
          <w:szCs w:val="72"/>
          <w:lang w:eastAsia="zh-CN"/>
        </w:rPr>
      </w:pPr>
      <w:r>
        <w:rPr>
          <w:rFonts w:hint="eastAsia" w:ascii="黑体" w:eastAsia="黑体"/>
          <w:sz w:val="72"/>
          <w:szCs w:val="72"/>
          <w:lang w:eastAsia="zh-CN"/>
        </w:rPr>
        <w:t>北京市文博发展中心</w:t>
      </w: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both"/>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本单位为公益一类事业单位。承担本市文博行业人才发展、智库建设等事务性工作，承担相关专业技术资格、职业资格认定的事务性工作；开展境外文博领域国际合作和交流工作。</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974.11</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220.48万元，增长29.26%。</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974.04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220.45万元，增长29.25%</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973.94</w:t>
      </w:r>
      <w:r>
        <w:rPr>
          <w:rFonts w:hint="eastAsia" w:ascii="仿宋_GB2312" w:eastAsia="仿宋_GB2312"/>
          <w:sz w:val="28"/>
          <w:szCs w:val="28"/>
        </w:rPr>
        <w:t>万元，占收入合计的</w:t>
      </w:r>
      <w:r>
        <w:rPr>
          <w:rFonts w:hint="eastAsia" w:ascii="仿宋_GB2312" w:eastAsia="仿宋_GB2312"/>
          <w:sz w:val="28"/>
          <w:szCs w:val="28"/>
          <w:lang w:eastAsia="zh-CN"/>
        </w:rPr>
        <w:t>99.99%。</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973.94</w:t>
      </w:r>
      <w:r>
        <w:rPr>
          <w:rFonts w:hint="eastAsia" w:ascii="仿宋_GB2312" w:eastAsia="仿宋_GB2312"/>
          <w:sz w:val="28"/>
          <w:szCs w:val="28"/>
        </w:rPr>
        <w:t>万元，占收入合计的</w:t>
      </w:r>
      <w:r>
        <w:rPr>
          <w:rFonts w:hint="eastAsia" w:ascii="仿宋_GB2312" w:eastAsia="仿宋_GB2312"/>
          <w:sz w:val="28"/>
          <w:szCs w:val="28"/>
          <w:lang w:eastAsia="zh-CN"/>
        </w:rPr>
        <w:t>99.99</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0.1</w:t>
      </w:r>
      <w:r>
        <w:rPr>
          <w:rFonts w:hint="eastAsia" w:ascii="仿宋_GB2312" w:eastAsia="仿宋_GB2312"/>
          <w:sz w:val="28"/>
          <w:szCs w:val="28"/>
        </w:rPr>
        <w:t>万元，占收入合计的</w:t>
      </w:r>
      <w:r>
        <w:rPr>
          <w:rFonts w:hint="eastAsia" w:ascii="仿宋_GB2312" w:eastAsia="仿宋_GB2312"/>
          <w:sz w:val="28"/>
          <w:szCs w:val="28"/>
          <w:lang w:eastAsia="zh-CN"/>
        </w:rPr>
        <w:t>0.01</w:t>
      </w:r>
      <w:r>
        <w:rPr>
          <w:rFonts w:hint="eastAsia" w:ascii="仿宋_GB2312" w:eastAsia="仿宋_GB2312"/>
          <w:sz w:val="28"/>
          <w:szCs w:val="28"/>
        </w:rPr>
        <w:t>%。</w:t>
      </w:r>
    </w:p>
    <w:p>
      <w:pPr>
        <w:pStyle w:val="2"/>
        <w:ind w:firstLine="0"/>
        <w:jc w:val="center"/>
      </w:pPr>
      <w:r>
        <w:rPr>
          <w:rFonts w:hint="eastAsia" w:ascii="仿宋_GB2312" w:eastAsia="仿宋_GB2312"/>
          <w:color w:val="000000"/>
          <w:sz w:val="32"/>
          <w:szCs w:val="32"/>
          <w:highlight w:val="none"/>
          <w:lang w:val="en-US" w:eastAsia="zh-CN"/>
        </w:rPr>
        <w:t>图1：收入预算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928.99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217.32万元，增长30.54%，其中：基本支出</w:t>
      </w:r>
      <w:r>
        <w:rPr>
          <w:rFonts w:ascii="仿宋_GB2312" w:eastAsia="仿宋_GB2312"/>
          <w:sz w:val="28"/>
          <w:szCs w:val="28"/>
        </w:rPr>
        <w:t>614.09</w:t>
      </w:r>
      <w:r>
        <w:rPr>
          <w:rFonts w:hint="eastAsia" w:ascii="仿宋_GB2312" w:eastAsia="仿宋_GB2312"/>
          <w:sz w:val="28"/>
          <w:szCs w:val="28"/>
        </w:rPr>
        <w:t>万元，占支出合计的</w:t>
      </w:r>
      <w:r>
        <w:rPr>
          <w:rFonts w:hint="eastAsia" w:ascii="仿宋_GB2312" w:eastAsia="仿宋_GB2312"/>
          <w:sz w:val="28"/>
          <w:szCs w:val="28"/>
          <w:lang w:eastAsia="zh-CN"/>
        </w:rPr>
        <w:t>66.1</w:t>
      </w:r>
      <w:r>
        <w:rPr>
          <w:rFonts w:hint="eastAsia" w:ascii="仿宋_GB2312" w:eastAsia="仿宋_GB2312"/>
          <w:sz w:val="28"/>
          <w:szCs w:val="28"/>
        </w:rPr>
        <w:t>%；项目支出</w:t>
      </w:r>
      <w:r>
        <w:rPr>
          <w:rFonts w:ascii="仿宋_GB2312" w:eastAsia="仿宋_GB2312"/>
          <w:sz w:val="28"/>
          <w:szCs w:val="28"/>
        </w:rPr>
        <w:t>314.9</w:t>
      </w:r>
      <w:r>
        <w:rPr>
          <w:rFonts w:hint="eastAsia" w:ascii="仿宋_GB2312" w:eastAsia="仿宋_GB2312"/>
          <w:sz w:val="28"/>
          <w:szCs w:val="28"/>
        </w:rPr>
        <w:t>万元，占支出合计的</w:t>
      </w:r>
      <w:r>
        <w:rPr>
          <w:rFonts w:hint="eastAsia" w:ascii="仿宋_GB2312" w:eastAsia="仿宋_GB2312"/>
          <w:sz w:val="28"/>
          <w:szCs w:val="28"/>
          <w:lang w:eastAsia="zh-CN"/>
        </w:rPr>
        <w:t>33.9</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true"/>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ind w:firstLine="709"/>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973.94</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220.43万元，增长29.25%。主要原因：为进一步优化局系统人才队伍建设，本单位聚焦领军人才、后备领军人才、优秀人才、“京博之星”人才及青年人才等不同培养方向，科学规划并精心实施了领军人才工作室、精培计划、双培计划以及青培计划。同时，积极构建全市性实习平台，强化文博单位与高校之间的协同育人机制，以持续赋能首都文博事业的高质量、可持续发展。基于此，增设系统人才梯队建设项目。</w:t>
      </w:r>
      <w:r>
        <w:rPr>
          <w:rFonts w:hint="eastAsia" w:ascii="仿宋_GB2312" w:eastAsia="仿宋_GB2312"/>
          <w:sz w:val="28"/>
          <w:szCs w:val="28"/>
          <w:lang w:eastAsia="zh-CN"/>
        </w:rPr>
        <w:t>另外，</w:t>
      </w:r>
      <w:r>
        <w:rPr>
          <w:rFonts w:hint="eastAsia" w:ascii="仿宋_GB2312" w:eastAsia="仿宋_GB2312"/>
          <w:sz w:val="28"/>
          <w:szCs w:val="28"/>
        </w:rPr>
        <w:t>本单位人员数量出现新增</w:t>
      </w:r>
      <w:r>
        <w:rPr>
          <w:rFonts w:hint="eastAsia" w:ascii="仿宋_GB2312" w:eastAsia="仿宋_GB2312"/>
          <w:sz w:val="28"/>
          <w:szCs w:val="28"/>
          <w:lang w:eastAsia="zh-CN"/>
        </w:rPr>
        <w:t>，</w:t>
      </w:r>
      <w:r>
        <w:rPr>
          <w:rFonts w:hint="eastAsia" w:ascii="仿宋_GB2312" w:eastAsia="仿宋_GB2312"/>
          <w:sz w:val="28"/>
          <w:szCs w:val="28"/>
        </w:rPr>
        <w:t>人员经费规模相应增加</w:t>
      </w:r>
      <w:r>
        <w:rPr>
          <w:rFonts w:hint="eastAsia" w:ascii="仿宋_GB2312" w:eastAsia="仿宋_GB2312"/>
          <w:sz w:val="28"/>
          <w:szCs w:val="28"/>
          <w:lang w:eastAsia="zh-CN"/>
        </w:rPr>
        <w:t>。</w:t>
      </w:r>
    </w:p>
    <w:p>
      <w:pPr>
        <w:tabs>
          <w:tab w:val="center" w:pos="6979"/>
        </w:tabs>
        <w:spacing w:line="580" w:lineRule="exact"/>
        <w:ind w:firstLine="570"/>
        <w:rPr>
          <w:rFonts w:hint="eastAsia" w:ascii="仿宋_GB2312" w:eastAsia="仿宋_GB2312"/>
          <w:sz w:val="28"/>
          <w:szCs w:val="28"/>
        </w:rPr>
      </w:pP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928.99</w:t>
      </w:r>
      <w:r>
        <w:rPr>
          <w:rFonts w:hint="eastAsia" w:ascii="仿宋_GB2312" w:eastAsia="仿宋_GB2312"/>
          <w:sz w:val="28"/>
          <w:szCs w:val="28"/>
        </w:rPr>
        <w:t>万元，主要用于以下方面（按大类）：文化旅游体育与传媒支出792.47万元，占本年财政拨款支出85.30%；社会保障和就业支出136.51万元，占本年财政拨款支出14.69%；教育支出0.01万元；占本年财政拨款支出0.01%。</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1、“文化旅游体育与传媒支出”（类）202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年度年初预算7</w:t>
      </w:r>
      <w:r>
        <w:rPr>
          <w:rFonts w:hint="eastAsia" w:ascii="仿宋_GB2312" w:eastAsia="仿宋_GB2312"/>
          <w:sz w:val="28"/>
          <w:szCs w:val="28"/>
          <w:lang w:val="en-US" w:eastAsia="zh"/>
        </w:rPr>
        <w:t>53.44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年度决算792.47万元，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
        </w:rPr>
        <w:t>105.18</w:t>
      </w:r>
      <w:r>
        <w:rPr>
          <w:rFonts w:hint="eastAsia" w:ascii="仿宋_GB2312" w:eastAsia="仿宋_GB2312"/>
          <w:sz w:val="28"/>
          <w:szCs w:val="28"/>
        </w:rPr>
        <w:t>%。其中：</w:t>
      </w:r>
    </w:p>
    <w:p>
      <w:pPr>
        <w:ind w:firstLine="560" w:firstLineChars="200"/>
        <w:rPr>
          <w:rFonts w:hint="eastAsia" w:ascii="仿宋_GB2312" w:eastAsia="仿宋_GB2312"/>
          <w:sz w:val="28"/>
          <w:szCs w:val="28"/>
        </w:rPr>
      </w:pPr>
      <w:r>
        <w:rPr>
          <w:rFonts w:hint="eastAsia" w:ascii="仿宋_GB2312" w:eastAsia="仿宋_GB2312"/>
          <w:sz w:val="28"/>
          <w:szCs w:val="28"/>
        </w:rPr>
        <w:t>“文物”（款）202</w:t>
      </w:r>
      <w:r>
        <w:rPr>
          <w:rFonts w:hint="eastAsia" w:ascii="仿宋_GB2312" w:eastAsia="仿宋_GB2312"/>
          <w:sz w:val="28"/>
          <w:szCs w:val="28"/>
          <w:lang w:val="en-US" w:eastAsia="zh-CN"/>
        </w:rPr>
        <w:t>4</w:t>
      </w:r>
      <w:r>
        <w:rPr>
          <w:rFonts w:hint="eastAsia" w:ascii="仿宋_GB2312" w:eastAsia="仿宋_GB2312"/>
          <w:sz w:val="28"/>
          <w:szCs w:val="28"/>
        </w:rPr>
        <w:t>年度年初预算7</w:t>
      </w:r>
      <w:r>
        <w:rPr>
          <w:rFonts w:hint="eastAsia" w:ascii="仿宋_GB2312" w:eastAsia="仿宋_GB2312"/>
          <w:sz w:val="28"/>
          <w:szCs w:val="28"/>
          <w:lang w:val="en-US" w:eastAsia="zh"/>
        </w:rPr>
        <w:t>53.44</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年度决算792.47万元，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
        </w:rPr>
        <w:t>105.18</w:t>
      </w:r>
      <w:r>
        <w:rPr>
          <w:rFonts w:hint="eastAsia" w:ascii="仿宋_GB2312" w:eastAsia="仿宋_GB2312"/>
          <w:sz w:val="28"/>
          <w:szCs w:val="28"/>
        </w:rPr>
        <w:t>%。主要原因：相较于编制预算的既定时点，本单位人员数量出现新增情况。随着人员数量的变动，对人员经费支出产生直接影响，使得人员经费的支出规模相应有所增加。</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lang w:val="en-US" w:eastAsia="zh"/>
        </w:rPr>
        <w:t>2</w:t>
      </w:r>
      <w:r>
        <w:rPr>
          <w:rFonts w:hint="eastAsia" w:ascii="仿宋_GB2312" w:eastAsia="仿宋_GB2312"/>
          <w:sz w:val="28"/>
          <w:szCs w:val="28"/>
        </w:rPr>
        <w:t>、“社会保障和就业支出”（类）202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
        </w:rPr>
        <w:t>140.16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年度决算136.51万元，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
        </w:rPr>
        <w:t>97.40</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autoSpaceDE w:val="0"/>
        <w:autoSpaceDN w:val="0"/>
        <w:adjustRightInd w:val="0"/>
        <w:spacing w:line="580" w:lineRule="exact"/>
        <w:ind w:firstLine="280" w:firstLineChars="100"/>
        <w:jc w:val="left"/>
        <w:rPr>
          <w:rFonts w:hint="eastAsia" w:ascii="仿宋_GB2312" w:hAnsi="Times New Roman" w:eastAsia="仿宋_GB2312" w:cs="Times New Roman"/>
          <w:b w:val="0"/>
          <w:bCs w:val="0"/>
          <w:kern w:val="2"/>
          <w:sz w:val="28"/>
          <w:szCs w:val="28"/>
          <w:lang w:val="en-US" w:eastAsia="zh-CN" w:bidi="ar-SA"/>
        </w:rPr>
      </w:pPr>
      <w:r>
        <w:rPr>
          <w:rFonts w:hint="eastAsia" w:ascii="仿宋_GB2312" w:eastAsia="仿宋_GB2312"/>
          <w:sz w:val="28"/>
          <w:szCs w:val="28"/>
        </w:rPr>
        <w:t>“行政事业单位养老支出”</w:t>
      </w:r>
      <w:r>
        <w:rPr>
          <w:rFonts w:hint="eastAsia" w:ascii="仿宋_GB2312" w:hAnsi="Times New Roman" w:eastAsia="仿宋_GB2312" w:cs="Times New Roman"/>
          <w:b w:val="0"/>
          <w:bCs w:val="0"/>
          <w:kern w:val="2"/>
          <w:sz w:val="28"/>
          <w:szCs w:val="28"/>
          <w:lang w:val="en-US" w:eastAsia="zh-CN" w:bidi="ar-SA"/>
        </w:rPr>
        <w:t>（款）2024年度年初预算</w:t>
      </w:r>
      <w:r>
        <w:rPr>
          <w:rFonts w:hint="eastAsia" w:ascii="仿宋_GB2312" w:eastAsia="仿宋_GB2312" w:cs="Times New Roman"/>
          <w:b w:val="0"/>
          <w:bCs w:val="0"/>
          <w:kern w:val="2"/>
          <w:sz w:val="28"/>
          <w:szCs w:val="28"/>
          <w:lang w:val="en-US" w:eastAsia="zh" w:bidi="ar-SA"/>
        </w:rPr>
        <w:t>60.00</w:t>
      </w:r>
      <w:r>
        <w:rPr>
          <w:rFonts w:hint="eastAsia" w:ascii="仿宋_GB2312" w:hAnsi="Times New Roman" w:eastAsia="仿宋_GB2312" w:cs="Times New Roman"/>
          <w:b w:val="0"/>
          <w:bCs w:val="0"/>
          <w:kern w:val="2"/>
          <w:sz w:val="28"/>
          <w:szCs w:val="28"/>
          <w:lang w:val="en-US" w:eastAsia="zh-CN" w:bidi="ar-SA"/>
        </w:rPr>
        <w:t>万元，2024年度决算</w:t>
      </w:r>
      <w:r>
        <w:rPr>
          <w:rFonts w:hint="eastAsia" w:ascii="仿宋_GB2312" w:eastAsia="仿宋_GB2312" w:cs="Times New Roman"/>
          <w:b w:val="0"/>
          <w:bCs w:val="0"/>
          <w:kern w:val="2"/>
          <w:sz w:val="28"/>
          <w:szCs w:val="28"/>
          <w:lang w:val="en-US" w:eastAsia="zh" w:bidi="ar-SA"/>
        </w:rPr>
        <w:t>57.24</w:t>
      </w:r>
      <w:r>
        <w:rPr>
          <w:rFonts w:hint="eastAsia" w:ascii="仿宋_GB2312" w:hAnsi="Times New Roman" w:eastAsia="仿宋_GB2312" w:cs="Times New Roman"/>
          <w:b w:val="0"/>
          <w:bCs w:val="0"/>
          <w:kern w:val="2"/>
          <w:sz w:val="28"/>
          <w:szCs w:val="28"/>
          <w:lang w:val="en-US" w:eastAsia="zh-CN" w:bidi="ar-SA"/>
        </w:rPr>
        <w:t>万元，完成年初预算的</w:t>
      </w:r>
      <w:r>
        <w:rPr>
          <w:rFonts w:hint="eastAsia" w:ascii="仿宋_GB2312" w:eastAsia="仿宋_GB2312" w:cs="Times New Roman"/>
          <w:b w:val="0"/>
          <w:bCs w:val="0"/>
          <w:kern w:val="2"/>
          <w:sz w:val="28"/>
          <w:szCs w:val="28"/>
          <w:lang w:val="en-US" w:eastAsia="zh" w:bidi="ar-SA"/>
        </w:rPr>
        <w:t>95.40</w:t>
      </w:r>
      <w:r>
        <w:rPr>
          <w:rFonts w:hint="eastAsia" w:ascii="仿宋_GB2312" w:hAnsi="Times New Roman" w:eastAsia="仿宋_GB2312" w:cs="Times New Roman"/>
          <w:b w:val="0"/>
          <w:bCs w:val="0"/>
          <w:kern w:val="2"/>
          <w:sz w:val="28"/>
          <w:szCs w:val="28"/>
          <w:lang w:val="en-US" w:eastAsia="zh-CN" w:bidi="ar-SA"/>
        </w:rPr>
        <w:t>%。主要原因</w:t>
      </w:r>
      <w:r>
        <w:rPr>
          <w:rFonts w:hint="eastAsia" w:ascii="仿宋_GB2312" w:hAnsi="Times New Roman" w:eastAsia="仿宋_GB2312" w:cs="Times New Roman"/>
          <w:b w:val="0"/>
          <w:bCs w:val="0"/>
          <w:kern w:val="2"/>
          <w:sz w:val="28"/>
          <w:szCs w:val="28"/>
          <w:lang w:val="en-US" w:eastAsia="zh" w:bidi="ar-SA"/>
        </w:rPr>
        <w:t>:</w:t>
      </w:r>
      <w:bookmarkStart w:id="0" w:name="OLE_LINK2"/>
      <w:bookmarkStart w:id="1" w:name="OLE_LINK1"/>
      <w:r>
        <w:rPr>
          <w:rFonts w:hint="eastAsia" w:ascii="仿宋_GB2312" w:eastAsia="仿宋_GB2312"/>
          <w:sz w:val="28"/>
          <w:szCs w:val="28"/>
        </w:rPr>
        <w:t>2</w:t>
      </w:r>
      <w:r>
        <w:rPr>
          <w:rFonts w:hint="eastAsia" w:ascii="仿宋_GB2312" w:hAnsi="Times New Roman" w:eastAsia="仿宋_GB2312" w:cs="Times New Roman"/>
          <w:b w:val="0"/>
          <w:bCs w:val="0"/>
          <w:kern w:val="2"/>
          <w:sz w:val="28"/>
          <w:szCs w:val="28"/>
          <w:lang w:val="en-US" w:eastAsia="zh-CN" w:bidi="ar-SA"/>
        </w:rPr>
        <w:t>024年单位同时存在新增与调出人员，不同人员社保标准不同，故产生差额。</w:t>
      </w:r>
      <w:bookmarkEnd w:id="0"/>
      <w:bookmarkEnd w:id="1"/>
    </w:p>
    <w:p>
      <w:pPr>
        <w:autoSpaceDE w:val="0"/>
        <w:autoSpaceDN w:val="0"/>
        <w:adjustRightInd w:val="0"/>
        <w:spacing w:line="580" w:lineRule="exact"/>
        <w:ind w:firstLine="280" w:firstLineChars="100"/>
        <w:jc w:val="left"/>
        <w:rPr>
          <w:rFonts w:hint="eastAsia" w:ascii="仿宋_GB2312" w:hAnsi="Times New Roman" w:eastAsia="仿宋_GB2312" w:cs="Times New Roman"/>
          <w:b w:val="0"/>
          <w:bCs w:val="0"/>
          <w:kern w:val="2"/>
          <w:sz w:val="28"/>
          <w:szCs w:val="28"/>
          <w:lang w:val="en-US" w:eastAsia="zh" w:bidi="ar-SA"/>
        </w:rPr>
      </w:pPr>
      <w:r>
        <w:rPr>
          <w:rFonts w:hint="eastAsia" w:ascii="仿宋_GB2312" w:eastAsia="仿宋_GB2312"/>
          <w:sz w:val="28"/>
          <w:szCs w:val="28"/>
        </w:rPr>
        <w:t>“其他社会保障和就业支出”</w:t>
      </w:r>
      <w:r>
        <w:rPr>
          <w:rFonts w:hint="eastAsia" w:ascii="仿宋_GB2312" w:hAnsi="Times New Roman" w:eastAsia="仿宋_GB2312" w:cs="Times New Roman"/>
          <w:b w:val="0"/>
          <w:bCs w:val="0"/>
          <w:kern w:val="2"/>
          <w:sz w:val="28"/>
          <w:szCs w:val="28"/>
          <w:lang w:val="en-US" w:eastAsia="zh-CN" w:bidi="ar-SA"/>
        </w:rPr>
        <w:t>（款）2024年度年初预算</w:t>
      </w:r>
      <w:r>
        <w:rPr>
          <w:rFonts w:hint="eastAsia" w:ascii="仿宋_GB2312" w:eastAsia="仿宋_GB2312" w:cs="Times New Roman"/>
          <w:b w:val="0"/>
          <w:bCs w:val="0"/>
          <w:kern w:val="2"/>
          <w:sz w:val="28"/>
          <w:szCs w:val="28"/>
          <w:lang w:val="en-US" w:eastAsia="zh" w:bidi="ar-SA"/>
        </w:rPr>
        <w:t>80.16</w:t>
      </w:r>
      <w:r>
        <w:rPr>
          <w:rFonts w:hint="eastAsia" w:ascii="仿宋_GB2312" w:hAnsi="Times New Roman" w:eastAsia="仿宋_GB2312" w:cs="Times New Roman"/>
          <w:b w:val="0"/>
          <w:bCs w:val="0"/>
          <w:kern w:val="2"/>
          <w:sz w:val="28"/>
          <w:szCs w:val="28"/>
          <w:lang w:val="en-US" w:eastAsia="zh-CN" w:bidi="ar-SA"/>
        </w:rPr>
        <w:t>万元，2024年度决算</w:t>
      </w:r>
      <w:r>
        <w:rPr>
          <w:rFonts w:hint="eastAsia" w:ascii="仿宋_GB2312" w:eastAsia="仿宋_GB2312" w:cs="Times New Roman"/>
          <w:b w:val="0"/>
          <w:bCs w:val="0"/>
          <w:kern w:val="2"/>
          <w:sz w:val="28"/>
          <w:szCs w:val="28"/>
          <w:lang w:val="en-US" w:eastAsia="zh" w:bidi="ar-SA"/>
        </w:rPr>
        <w:t>79.27</w:t>
      </w:r>
      <w:r>
        <w:rPr>
          <w:rFonts w:hint="eastAsia" w:ascii="仿宋_GB2312" w:hAnsi="Times New Roman" w:eastAsia="仿宋_GB2312" w:cs="Times New Roman"/>
          <w:b w:val="0"/>
          <w:bCs w:val="0"/>
          <w:kern w:val="2"/>
          <w:sz w:val="28"/>
          <w:szCs w:val="28"/>
          <w:lang w:val="en-US" w:eastAsia="zh-CN" w:bidi="ar-SA"/>
        </w:rPr>
        <w:t>万元，完成年初预算的</w:t>
      </w:r>
      <w:r>
        <w:rPr>
          <w:rFonts w:hint="eastAsia" w:ascii="仿宋_GB2312" w:eastAsia="仿宋_GB2312" w:cs="Times New Roman"/>
          <w:b w:val="0"/>
          <w:bCs w:val="0"/>
          <w:kern w:val="2"/>
          <w:sz w:val="28"/>
          <w:szCs w:val="28"/>
          <w:lang w:val="en-US" w:eastAsia="zh" w:bidi="ar-SA"/>
        </w:rPr>
        <w:t>98.89</w:t>
      </w:r>
      <w:r>
        <w:rPr>
          <w:rFonts w:hint="eastAsia" w:ascii="仿宋_GB2312" w:hAnsi="Times New Roman" w:eastAsia="仿宋_GB2312" w:cs="Times New Roman"/>
          <w:b w:val="0"/>
          <w:bCs w:val="0"/>
          <w:kern w:val="2"/>
          <w:sz w:val="28"/>
          <w:szCs w:val="28"/>
          <w:lang w:val="en-US" w:eastAsia="zh-CN" w:bidi="ar-SA"/>
        </w:rPr>
        <w:t>%。主要原因</w:t>
      </w:r>
      <w:r>
        <w:rPr>
          <w:rFonts w:hint="eastAsia" w:ascii="仿宋_GB2312" w:hAnsi="Times New Roman" w:eastAsia="仿宋_GB2312" w:cs="Times New Roman"/>
          <w:b w:val="0"/>
          <w:bCs w:val="0"/>
          <w:kern w:val="2"/>
          <w:sz w:val="28"/>
          <w:szCs w:val="28"/>
          <w:lang w:val="en-US" w:eastAsia="zh" w:bidi="ar-SA"/>
        </w:rPr>
        <w:t>:</w:t>
      </w:r>
      <w:r>
        <w:rPr>
          <w:rFonts w:hint="eastAsia" w:ascii="仿宋_GB2312" w:eastAsia="仿宋_GB2312"/>
          <w:sz w:val="28"/>
          <w:szCs w:val="28"/>
        </w:rPr>
        <w:t>2</w:t>
      </w:r>
      <w:r>
        <w:rPr>
          <w:rFonts w:hint="eastAsia" w:ascii="仿宋_GB2312" w:hAnsi="Times New Roman" w:eastAsia="仿宋_GB2312" w:cs="Times New Roman"/>
          <w:b w:val="0"/>
          <w:bCs w:val="0"/>
          <w:kern w:val="2"/>
          <w:sz w:val="28"/>
          <w:szCs w:val="28"/>
          <w:lang w:val="en-US" w:eastAsia="zh-CN" w:bidi="ar-SA"/>
        </w:rPr>
        <w:t>024年单位同时存在新增与调出人员，不同人员社保标准不同，故产生差额。</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lang w:val="en-US" w:eastAsia="zh"/>
        </w:rPr>
        <w:t>3</w:t>
      </w:r>
      <w:r>
        <w:rPr>
          <w:rFonts w:hint="eastAsia" w:ascii="仿宋_GB2312" w:eastAsia="仿宋_GB2312"/>
          <w:sz w:val="28"/>
          <w:szCs w:val="28"/>
        </w:rPr>
        <w:t>、“教育支出”(类)202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
        </w:rPr>
        <w:t>1.57</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
        </w:rPr>
        <w:t>0.01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
        </w:rPr>
        <w:t>0.64</w:t>
      </w:r>
      <w:r>
        <w:rPr>
          <w:rFonts w:hint="eastAsia" w:ascii="仿宋_GB2312" w:eastAsia="仿宋_GB2312"/>
          <w:sz w:val="28"/>
          <w:szCs w:val="28"/>
        </w:rPr>
        <w:t>%。其中：</w:t>
      </w:r>
    </w:p>
    <w:p>
      <w:pPr>
        <w:autoSpaceDE w:val="0"/>
        <w:autoSpaceDN w:val="0"/>
        <w:adjustRightInd w:val="0"/>
        <w:spacing w:line="580" w:lineRule="exact"/>
        <w:ind w:firstLine="280" w:firstLineChars="100"/>
        <w:jc w:val="left"/>
        <w:rPr>
          <w:rFonts w:hint="eastAsia" w:ascii="仿宋_GB2312" w:eastAsia="仿宋_GB2312"/>
          <w:sz w:val="28"/>
          <w:szCs w:val="28"/>
        </w:rPr>
      </w:pPr>
      <w:r>
        <w:rPr>
          <w:rFonts w:hint="eastAsia" w:ascii="仿宋_GB2312" w:eastAsia="仿宋_GB2312"/>
          <w:sz w:val="28"/>
          <w:szCs w:val="28"/>
        </w:rPr>
        <w:t>“进修及培训”（款）</w:t>
      </w:r>
      <w:r>
        <w:rPr>
          <w:rFonts w:hint="eastAsia" w:ascii="仿宋_GB2312" w:hAnsi="Times New Roman" w:eastAsia="仿宋_GB2312" w:cs="Times New Roman"/>
          <w:b w:val="0"/>
          <w:bCs w:val="0"/>
          <w:kern w:val="2"/>
          <w:sz w:val="28"/>
          <w:szCs w:val="28"/>
          <w:lang w:val="en-US" w:eastAsia="zh-CN" w:bidi="ar-SA"/>
        </w:rPr>
        <w:t>2024年度年初预算</w:t>
      </w:r>
      <w:r>
        <w:rPr>
          <w:rFonts w:hint="eastAsia" w:ascii="仿宋_GB2312" w:eastAsia="仿宋_GB2312" w:cs="Times New Roman"/>
          <w:b w:val="0"/>
          <w:bCs w:val="0"/>
          <w:kern w:val="2"/>
          <w:sz w:val="28"/>
          <w:szCs w:val="28"/>
          <w:lang w:val="en-US" w:eastAsia="zh" w:bidi="ar-SA"/>
        </w:rPr>
        <w:t>1.57</w:t>
      </w:r>
      <w:r>
        <w:rPr>
          <w:rFonts w:hint="eastAsia" w:ascii="仿宋_GB2312" w:hAnsi="Times New Roman" w:eastAsia="仿宋_GB2312" w:cs="Times New Roman"/>
          <w:b w:val="0"/>
          <w:bCs w:val="0"/>
          <w:kern w:val="2"/>
          <w:sz w:val="28"/>
          <w:szCs w:val="28"/>
          <w:lang w:val="en-US" w:eastAsia="zh-CN" w:bidi="ar-SA"/>
        </w:rPr>
        <w:t>元，2024年度决算</w:t>
      </w:r>
      <w:r>
        <w:rPr>
          <w:rFonts w:hint="eastAsia" w:ascii="仿宋_GB2312" w:eastAsia="仿宋_GB2312" w:cs="Times New Roman"/>
          <w:b w:val="0"/>
          <w:bCs w:val="0"/>
          <w:kern w:val="2"/>
          <w:sz w:val="28"/>
          <w:szCs w:val="28"/>
          <w:lang w:val="en-US" w:eastAsia="zh" w:bidi="ar-SA"/>
        </w:rPr>
        <w:t>0.01</w:t>
      </w:r>
      <w:r>
        <w:rPr>
          <w:rFonts w:hint="eastAsia" w:ascii="仿宋_GB2312" w:hAnsi="Times New Roman" w:eastAsia="仿宋_GB2312" w:cs="Times New Roman"/>
          <w:b w:val="0"/>
          <w:bCs w:val="0"/>
          <w:kern w:val="2"/>
          <w:sz w:val="28"/>
          <w:szCs w:val="28"/>
          <w:lang w:val="en-US" w:eastAsia="zh-CN" w:bidi="ar-SA"/>
        </w:rPr>
        <w:t>万元，完成年初预算的</w:t>
      </w:r>
      <w:r>
        <w:rPr>
          <w:rFonts w:hint="eastAsia" w:ascii="仿宋_GB2312" w:eastAsia="仿宋_GB2312"/>
          <w:sz w:val="28"/>
          <w:szCs w:val="28"/>
          <w:lang w:val="en-US" w:eastAsia="zh"/>
        </w:rPr>
        <w:t>0.64</w:t>
      </w:r>
      <w:r>
        <w:rPr>
          <w:rFonts w:hint="eastAsia" w:ascii="仿宋_GB2312" w:hAnsi="Times New Roman" w:eastAsia="仿宋_GB2312" w:cs="Times New Roman"/>
          <w:b w:val="0"/>
          <w:bCs w:val="0"/>
          <w:kern w:val="2"/>
          <w:sz w:val="28"/>
          <w:szCs w:val="28"/>
          <w:lang w:val="en-US" w:eastAsia="zh-CN" w:bidi="ar-SA"/>
        </w:rPr>
        <w:t>%。主要原因</w:t>
      </w:r>
      <w:r>
        <w:rPr>
          <w:rFonts w:hint="eastAsia" w:ascii="仿宋_GB2312" w:hAnsi="Times New Roman" w:eastAsia="仿宋_GB2312" w:cs="Times New Roman"/>
          <w:b w:val="0"/>
          <w:bCs w:val="0"/>
          <w:kern w:val="2"/>
          <w:sz w:val="28"/>
          <w:szCs w:val="28"/>
          <w:lang w:val="en-US" w:eastAsia="zh" w:bidi="ar-SA"/>
        </w:rPr>
        <w:t>:</w:t>
      </w:r>
      <w:r>
        <w:rPr>
          <w:rFonts w:hint="eastAsia" w:ascii="仿宋_GB2312" w:eastAsia="仿宋_GB2312"/>
          <w:sz w:val="28"/>
          <w:szCs w:val="28"/>
        </w:rPr>
        <w:t>落</w:t>
      </w:r>
      <w:r>
        <w:rPr>
          <w:rFonts w:hint="eastAsia" w:ascii="仿宋_GB2312" w:hAnsi="仿宋" w:eastAsia="仿宋_GB2312"/>
          <w:sz w:val="28"/>
          <w:szCs w:val="28"/>
        </w:rPr>
        <w:t>实政府过紧日子要求，厉行勤俭节约要求，严格控制培训费用支出</w:t>
      </w:r>
      <w:r>
        <w:rPr>
          <w:rFonts w:hint="eastAsia" w:ascii="CESI仿宋-GB2312" w:hAnsi="CESI仿宋-GB2312" w:eastAsia="CESI仿宋-GB2312" w:cs="CESI仿宋-GB2312"/>
          <w:bCs/>
          <w:sz w:val="28"/>
          <w:szCs w:val="28"/>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本单位无此项支出。</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本单位无此项支出。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614.09</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ascii="仿宋_GB2312" w:eastAsia="仿宋_GB2312"/>
          <w:b/>
          <w:sz w:val="32"/>
          <w:szCs w:val="32"/>
        </w:rPr>
      </w:pPr>
      <w:r>
        <w:rPr>
          <w:rFonts w:ascii="仿宋_GB2312" w:eastAsia="仿宋_GB2312"/>
          <w:b/>
          <w:sz w:val="32"/>
          <w:szCs w:val="32"/>
        </w:rPr>
        <w:tab/>
      </w:r>
    </w:p>
    <w:p>
      <w:pPr>
        <w:pStyle w:val="2"/>
        <w:rPr>
          <w:rFonts w:ascii="仿宋_GB2312" w:eastAsia="仿宋_GB2312"/>
          <w:b/>
          <w:sz w:val="32"/>
          <w:szCs w:val="32"/>
        </w:rPr>
      </w:pPr>
    </w:p>
    <w:p>
      <w:pPr>
        <w:rPr>
          <w:rFonts w:ascii="仿宋_GB2312" w:eastAsia="仿宋_GB2312"/>
          <w:b/>
          <w:sz w:val="32"/>
          <w:szCs w:val="32"/>
        </w:rPr>
      </w:pPr>
    </w:p>
    <w:p>
      <w:pPr>
        <w:pStyle w:val="2"/>
        <w:rPr>
          <w:rFonts w:ascii="仿宋_GB2312" w:eastAsia="仿宋_GB2312"/>
          <w:b/>
          <w:sz w:val="32"/>
          <w:szCs w:val="32"/>
        </w:rPr>
      </w:pPr>
    </w:p>
    <w:p>
      <w:pPr>
        <w:rPr>
          <w:rFonts w:ascii="仿宋_GB2312" w:eastAsia="仿宋_GB2312"/>
          <w:b/>
          <w:sz w:val="32"/>
          <w:szCs w:val="32"/>
        </w:rPr>
      </w:pPr>
    </w:p>
    <w:p>
      <w:pPr>
        <w:pStyle w:val="2"/>
        <w:rPr>
          <w:rFonts w:ascii="仿宋_GB2312" w:eastAsia="仿宋_GB2312"/>
          <w:b/>
          <w:sz w:val="32"/>
          <w:szCs w:val="32"/>
        </w:rPr>
      </w:pPr>
    </w:p>
    <w:p>
      <w:pPr>
        <w:rPr>
          <w:rFonts w:ascii="仿宋_GB2312" w:eastAsia="仿宋_GB2312"/>
          <w:b/>
          <w:sz w:val="32"/>
          <w:szCs w:val="32"/>
        </w:rPr>
      </w:pPr>
    </w:p>
    <w:p>
      <w:pPr>
        <w:pStyle w:val="2"/>
        <w:rPr>
          <w:rFonts w:ascii="仿宋_GB2312" w:eastAsia="仿宋_GB2312"/>
          <w:b/>
          <w:sz w:val="32"/>
          <w:szCs w:val="32"/>
        </w:rPr>
      </w:pPr>
    </w:p>
    <w:p>
      <w:pPr>
        <w:rPr>
          <w:rFonts w:hint="eastAsia"/>
        </w:rPr>
      </w:pP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0.01</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0.08</w:t>
      </w:r>
      <w:r>
        <w:rPr>
          <w:rFonts w:hint="eastAsia" w:ascii="仿宋_GB2312" w:eastAsia="仿宋_GB2312"/>
          <w:sz w:val="28"/>
          <w:szCs w:val="28"/>
        </w:rPr>
        <w:t>万元减少</w:t>
      </w:r>
      <w:r>
        <w:rPr>
          <w:rFonts w:ascii="仿宋_GB2312" w:eastAsia="仿宋_GB2312"/>
          <w:sz w:val="28"/>
          <w:szCs w:val="28"/>
        </w:rPr>
        <w:t>0.07</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万元增加</w:t>
      </w:r>
      <w:r>
        <w:rPr>
          <w:rFonts w:ascii="仿宋_GB2312" w:eastAsia="仿宋_GB2312"/>
          <w:sz w:val="28"/>
          <w:szCs w:val="28"/>
        </w:rPr>
        <w:t>0</w:t>
      </w:r>
      <w:r>
        <w:rPr>
          <w:rFonts w:hint="eastAsia" w:ascii="仿宋_GB2312" w:eastAsia="仿宋_GB2312"/>
          <w:sz w:val="28"/>
          <w:szCs w:val="28"/>
        </w:rPr>
        <w:t>万元。主要原因：无因公出国（境）工作安排。202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0.01</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0.08</w:t>
      </w:r>
      <w:r>
        <w:rPr>
          <w:rFonts w:hint="eastAsia" w:ascii="仿宋_GB2312" w:eastAsia="仿宋_GB2312"/>
          <w:sz w:val="28"/>
          <w:szCs w:val="28"/>
        </w:rPr>
        <w:t>万元减少</w:t>
      </w:r>
      <w:r>
        <w:rPr>
          <w:rFonts w:hint="eastAsia" w:ascii="仿宋_GB2312" w:eastAsia="仿宋_GB2312"/>
          <w:sz w:val="28"/>
          <w:szCs w:val="28"/>
          <w:lang w:val="en-US" w:eastAsia="zh-CN"/>
        </w:rPr>
        <w:t>0</w:t>
      </w:r>
      <w:r>
        <w:rPr>
          <w:rFonts w:ascii="仿宋_GB2312" w:eastAsia="仿宋_GB2312"/>
          <w:sz w:val="28"/>
          <w:szCs w:val="28"/>
        </w:rPr>
        <w:t>.07</w:t>
      </w:r>
      <w:r>
        <w:rPr>
          <w:rFonts w:hint="eastAsia" w:ascii="仿宋_GB2312" w:eastAsia="仿宋_GB2312"/>
          <w:sz w:val="28"/>
          <w:szCs w:val="28"/>
        </w:rPr>
        <w:t>万元。主要原因：落实政府过紧日子要求，厉行节约，严格控制公务接待数量、规模和接待标准，公务接待费相应减少。202</w:t>
      </w:r>
      <w:r>
        <w:rPr>
          <w:rFonts w:hint="eastAsia" w:ascii="仿宋_GB2312" w:eastAsia="仿宋_GB2312"/>
          <w:sz w:val="28"/>
          <w:szCs w:val="28"/>
          <w:lang w:val="en-US" w:eastAsia="zh-CN"/>
        </w:rPr>
        <w:t>4</w:t>
      </w:r>
      <w:r>
        <w:rPr>
          <w:rFonts w:hint="eastAsia" w:ascii="仿宋_GB2312" w:eastAsia="仿宋_GB2312"/>
          <w:sz w:val="28"/>
          <w:szCs w:val="28"/>
        </w:rPr>
        <w:t>年度公务接待费主要用于内控检查小组公务用餐。公务接待</w:t>
      </w:r>
      <w:r>
        <w:rPr>
          <w:rFonts w:hint="eastAsia" w:ascii="仿宋_GB2312" w:eastAsia="仿宋_GB2312"/>
          <w:sz w:val="28"/>
          <w:szCs w:val="28"/>
          <w:lang w:eastAsia="zh-CN"/>
        </w:rPr>
        <w:t>1</w:t>
      </w:r>
      <w:r>
        <w:rPr>
          <w:rFonts w:hint="eastAsia" w:ascii="仿宋_GB2312" w:eastAsia="仿宋_GB2312"/>
          <w:sz w:val="28"/>
          <w:szCs w:val="28"/>
        </w:rPr>
        <w:t>批次，公务接待</w:t>
      </w:r>
      <w:r>
        <w:rPr>
          <w:rFonts w:hint="eastAsia" w:ascii="仿宋_GB2312" w:eastAsia="仿宋_GB2312"/>
          <w:sz w:val="28"/>
          <w:szCs w:val="28"/>
          <w:lang w:eastAsia="zh-CN"/>
        </w:rPr>
        <w:t>3</w:t>
      </w:r>
      <w:r>
        <w:rPr>
          <w:rFonts w:hint="eastAsia" w:ascii="仿宋_GB2312" w:eastAsia="仿宋_GB2312"/>
          <w:sz w:val="28"/>
          <w:szCs w:val="28"/>
        </w:rPr>
        <w:t>人次。</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万元增加</w:t>
      </w:r>
      <w:r>
        <w:rPr>
          <w:rFonts w:ascii="仿宋_GB2312" w:eastAsia="仿宋_GB2312"/>
          <w:sz w:val="28"/>
          <w:szCs w:val="28"/>
        </w:rPr>
        <w:t>0</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万元，主要原因：无公务用车，202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万元，主要原因：无公务用车。202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0</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left="540"/>
        <w:rPr>
          <w:rFonts w:hint="eastAsia" w:ascii="仿宋_GB2312" w:eastAsia="仿宋_GB2312"/>
          <w:sz w:val="28"/>
          <w:szCs w:val="28"/>
        </w:rPr>
      </w:pPr>
      <w:r>
        <w:rPr>
          <w:rFonts w:hint="eastAsia" w:ascii="仿宋_GB2312" w:eastAsia="仿宋_GB2312"/>
          <w:sz w:val="28"/>
          <w:szCs w:val="28"/>
        </w:rPr>
        <w:t>我单位不在机关运行经费统计范围之内。</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120.63</w:t>
      </w:r>
      <w:r>
        <w:rPr>
          <w:rFonts w:hint="eastAsia" w:ascii="仿宋_GB2312" w:eastAsia="仿宋_GB2312"/>
          <w:sz w:val="28"/>
          <w:szCs w:val="28"/>
        </w:rPr>
        <w:t>万元，其中：政府采购货物支出</w:t>
      </w:r>
      <w:r>
        <w:rPr>
          <w:rFonts w:ascii="仿宋_GB2312" w:eastAsia="仿宋_GB2312"/>
          <w:sz w:val="28"/>
          <w:szCs w:val="28"/>
        </w:rPr>
        <w:t>1.13</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119.5</w:t>
      </w:r>
      <w:r>
        <w:rPr>
          <w:rFonts w:hint="eastAsia" w:ascii="仿宋_GB2312" w:eastAsia="仿宋_GB2312"/>
          <w:sz w:val="28"/>
          <w:szCs w:val="28"/>
        </w:rPr>
        <w:t>万元。授予中小企业合同金额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hint="eastAsia" w:ascii="仿宋_GB2312" w:eastAsia="仿宋_GB2312"/>
          <w:sz w:val="28"/>
          <w:szCs w:val="28"/>
          <w:lang w:eastAsia="zh-CN"/>
        </w:rPr>
        <w:t>0</w:t>
      </w:r>
      <w:r>
        <w:rPr>
          <w:rFonts w:hint="eastAsia" w:ascii="仿宋_GB2312" w:eastAsia="仿宋_GB2312"/>
          <w:sz w:val="28"/>
          <w:szCs w:val="28"/>
        </w:rPr>
        <w:t>%，其中：授予小微企业合同金额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ascii="仿宋_GB2312" w:eastAsia="仿宋_GB2312"/>
          <w:sz w:val="28"/>
          <w:szCs w:val="28"/>
        </w:rPr>
        <w:t>0</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12月31日，北京市文博发展中心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文化旅游体育与传媒支出（类）文物（款）其他文物支出（项）：反映除行政运行、一般行政管理事务、机关服务、文物保护、博物馆、历史文化名城与古迹以外用于文物方面的支出。</w:t>
      </w:r>
    </w:p>
    <w:p>
      <w:pPr>
        <w:ind w:left="420" w:leftChars="200" w:firstLine="0" w:firstLineChars="0"/>
        <w:rPr>
          <w:rFonts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教育支出（类）进修及培训（款）培训支出（项）：反映本单位安排的用于培训的支出。</w:t>
      </w:r>
    </w:p>
    <w:p>
      <w:pPr>
        <w:pStyle w:val="3"/>
        <w:ind w:left="0" w:leftChars="0" w:firstLine="420" w:firstLineChars="150"/>
        <w:rPr>
          <w:rFonts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社会保障和就业支出（类）行政事业单位养老支出（款）机关事业单位基本养老保险缴费支出（项）：反映单位为职工缴纳的基本养老保险费。</w:t>
      </w:r>
    </w:p>
    <w:p>
      <w:pPr>
        <w:pStyle w:val="3"/>
        <w:ind w:left="0" w:leftChars="0" w:firstLine="420" w:firstLineChars="150"/>
        <w:rPr>
          <w:rFonts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社会保障和就业支出（类）行政事业单位养老支出（款）机关事业单位职业年金缴费支出（项）：反映单位为职工实际缴纳的职业年金(含职业年金补记支出)。</w:t>
      </w:r>
    </w:p>
    <w:p>
      <w:pPr>
        <w:pStyle w:val="3"/>
        <w:ind w:left="0" w:leftChars="0" w:firstLine="420" w:firstLineChars="150"/>
        <w:rPr>
          <w:rFonts w:hint="eastAsia"/>
        </w:rPr>
      </w:pPr>
      <w:r>
        <w:rPr>
          <w:rFonts w:hint="eastAsia" w:ascii="仿宋_GB2312" w:eastAsia="仿宋_GB2312"/>
          <w:sz w:val="28"/>
          <w:szCs w:val="28"/>
          <w:lang w:val="en-US" w:eastAsia="zh-CN"/>
        </w:rPr>
        <w:t>11.</w:t>
      </w:r>
      <w:r>
        <w:rPr>
          <w:rFonts w:hint="eastAsia" w:ascii="仿宋_GB2312" w:eastAsia="仿宋_GB2312"/>
          <w:sz w:val="28"/>
          <w:szCs w:val="28"/>
        </w:rPr>
        <w:t>社会保障和就业支出（类）其他社会保障和就业支出（款）其他社会保障和就业支出（项）：反映单位为职工缴纳的失业、工伤等社会保险费，残疾人就业保障金等。</w:t>
      </w: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w:t>
      </w:r>
      <w:r>
        <w:rPr>
          <w:rFonts w:hint="eastAsia" w:ascii="黑体" w:eastAsia="黑体"/>
          <w:sz w:val="28"/>
          <w:szCs w:val="28"/>
          <w:lang w:val="en-US" w:eastAsia="zh-CN"/>
        </w:rPr>
        <w:t>详见附件</w:t>
      </w:r>
      <w:r>
        <w:rPr>
          <w:rFonts w:hint="eastAsia" w:ascii="黑体" w:eastAsia="黑体"/>
          <w:sz w:val="28"/>
          <w:szCs w:val="28"/>
          <w:lang w:eastAsia="zh-CN"/>
        </w:rPr>
        <w:t>）</w:t>
      </w:r>
      <w:bookmarkStart w:id="2" w:name="_GoBack"/>
      <w:bookmarkEnd w:id="2"/>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CESI仿宋-GB2312">
    <w:panose1 w:val="02000500000000000000"/>
    <w:charset w:val="86"/>
    <w:family w:val="auto"/>
    <w:pitch w:val="default"/>
    <w:sig w:usb0="800002AF" w:usb1="084F6CF8" w:usb2="00000010"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6"/>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758F48"/>
    <w:rsid w:val="0F8E2C57"/>
    <w:rsid w:val="1059665E"/>
    <w:rsid w:val="10AC13BA"/>
    <w:rsid w:val="145A6C1B"/>
    <w:rsid w:val="14B73493"/>
    <w:rsid w:val="167A2FF9"/>
    <w:rsid w:val="18581C69"/>
    <w:rsid w:val="1AEC0734"/>
    <w:rsid w:val="1DEF20B0"/>
    <w:rsid w:val="1EF3E769"/>
    <w:rsid w:val="214243FA"/>
    <w:rsid w:val="21AD613C"/>
    <w:rsid w:val="22467189"/>
    <w:rsid w:val="23E4A37A"/>
    <w:rsid w:val="257A14F5"/>
    <w:rsid w:val="27196C26"/>
    <w:rsid w:val="27FEBFF5"/>
    <w:rsid w:val="29EF086F"/>
    <w:rsid w:val="2D5E57B4"/>
    <w:rsid w:val="2EFFE297"/>
    <w:rsid w:val="2FFD8C2D"/>
    <w:rsid w:val="301437CA"/>
    <w:rsid w:val="349D1F0A"/>
    <w:rsid w:val="34BD0595"/>
    <w:rsid w:val="34DD0473"/>
    <w:rsid w:val="3BB64738"/>
    <w:rsid w:val="3C684897"/>
    <w:rsid w:val="3CCD5791"/>
    <w:rsid w:val="3DA7C1FF"/>
    <w:rsid w:val="3F110141"/>
    <w:rsid w:val="3F9763A9"/>
    <w:rsid w:val="3FB546CE"/>
    <w:rsid w:val="3FE701AC"/>
    <w:rsid w:val="3FF60D83"/>
    <w:rsid w:val="433E495C"/>
    <w:rsid w:val="489F2FD7"/>
    <w:rsid w:val="497B43F6"/>
    <w:rsid w:val="4AC27CB3"/>
    <w:rsid w:val="4BF72BEF"/>
    <w:rsid w:val="4CF91E74"/>
    <w:rsid w:val="4DF7ADB1"/>
    <w:rsid w:val="4DF7FAE3"/>
    <w:rsid w:val="4F89359B"/>
    <w:rsid w:val="4FA90297"/>
    <w:rsid w:val="4FC41A43"/>
    <w:rsid w:val="4FFACC46"/>
    <w:rsid w:val="51DB3C59"/>
    <w:rsid w:val="550C0952"/>
    <w:rsid w:val="556B0966"/>
    <w:rsid w:val="55762E42"/>
    <w:rsid w:val="557F3CD2"/>
    <w:rsid w:val="57A7B272"/>
    <w:rsid w:val="57AD2C1B"/>
    <w:rsid w:val="58470068"/>
    <w:rsid w:val="58747CAC"/>
    <w:rsid w:val="59EFB3E4"/>
    <w:rsid w:val="5A1720F9"/>
    <w:rsid w:val="5A5F4AF0"/>
    <w:rsid w:val="5B9C37C2"/>
    <w:rsid w:val="5BA7C654"/>
    <w:rsid w:val="5BBBF231"/>
    <w:rsid w:val="5BFF9BF2"/>
    <w:rsid w:val="5C7D0C9F"/>
    <w:rsid w:val="5F72B11B"/>
    <w:rsid w:val="5F97DC91"/>
    <w:rsid w:val="5F9F1C7C"/>
    <w:rsid w:val="5FB69B23"/>
    <w:rsid w:val="5FEFE3BF"/>
    <w:rsid w:val="60A54109"/>
    <w:rsid w:val="616D39C0"/>
    <w:rsid w:val="61D01CDF"/>
    <w:rsid w:val="64C0607C"/>
    <w:rsid w:val="65756C86"/>
    <w:rsid w:val="659FF794"/>
    <w:rsid w:val="674D385B"/>
    <w:rsid w:val="676F09E1"/>
    <w:rsid w:val="69F74ECF"/>
    <w:rsid w:val="6DFE4CCB"/>
    <w:rsid w:val="6DFFEAB6"/>
    <w:rsid w:val="6E5F5126"/>
    <w:rsid w:val="6EDFEF85"/>
    <w:rsid w:val="6FBB3136"/>
    <w:rsid w:val="6FFF01C4"/>
    <w:rsid w:val="71FF1F58"/>
    <w:rsid w:val="7277C069"/>
    <w:rsid w:val="7357290B"/>
    <w:rsid w:val="7733D432"/>
    <w:rsid w:val="773ECB47"/>
    <w:rsid w:val="77BB5A81"/>
    <w:rsid w:val="77FF0288"/>
    <w:rsid w:val="781FD65D"/>
    <w:rsid w:val="798524E4"/>
    <w:rsid w:val="7A7F1C49"/>
    <w:rsid w:val="7B091ED7"/>
    <w:rsid w:val="7B3FBFEB"/>
    <w:rsid w:val="7B5B7AE6"/>
    <w:rsid w:val="7B7B6628"/>
    <w:rsid w:val="7BA7071E"/>
    <w:rsid w:val="7BDF6DA8"/>
    <w:rsid w:val="7C7EDC1A"/>
    <w:rsid w:val="7CCED98D"/>
    <w:rsid w:val="7CDD3108"/>
    <w:rsid w:val="7D08410F"/>
    <w:rsid w:val="7DB96DED"/>
    <w:rsid w:val="7DD3AD81"/>
    <w:rsid w:val="7DEBD70C"/>
    <w:rsid w:val="7DF4925B"/>
    <w:rsid w:val="7DFA2A54"/>
    <w:rsid w:val="7DFFEB80"/>
    <w:rsid w:val="7DFFF404"/>
    <w:rsid w:val="7E935C0A"/>
    <w:rsid w:val="7E97E3B4"/>
    <w:rsid w:val="7EAE5A5E"/>
    <w:rsid w:val="7F7FE70F"/>
    <w:rsid w:val="7FBFB25E"/>
    <w:rsid w:val="7FBFB2E7"/>
    <w:rsid w:val="7FDDEABE"/>
    <w:rsid w:val="7FE77AD3"/>
    <w:rsid w:val="7FEB4F84"/>
    <w:rsid w:val="7FF769C0"/>
    <w:rsid w:val="7FF90ADC"/>
    <w:rsid w:val="7FFDB8EB"/>
    <w:rsid w:val="7FFF772F"/>
    <w:rsid w:val="8FF56F50"/>
    <w:rsid w:val="92678B72"/>
    <w:rsid w:val="95F35EF6"/>
    <w:rsid w:val="95F6A643"/>
    <w:rsid w:val="97433694"/>
    <w:rsid w:val="9B5E5F9B"/>
    <w:rsid w:val="9BDF613B"/>
    <w:rsid w:val="9BF7A444"/>
    <w:rsid w:val="9BFFD860"/>
    <w:rsid w:val="9FEDA7D8"/>
    <w:rsid w:val="9FF395AE"/>
    <w:rsid w:val="9FFE3345"/>
    <w:rsid w:val="AC5F73DE"/>
    <w:rsid w:val="B5DDD2C8"/>
    <w:rsid w:val="B7FED442"/>
    <w:rsid w:val="B9DFABD9"/>
    <w:rsid w:val="BBCDBF9F"/>
    <w:rsid w:val="BBE754AA"/>
    <w:rsid w:val="BC0D83FC"/>
    <w:rsid w:val="BDF7958A"/>
    <w:rsid w:val="BE5FA907"/>
    <w:rsid w:val="BE9F4D85"/>
    <w:rsid w:val="BEDD4832"/>
    <w:rsid w:val="BF3BDEFB"/>
    <w:rsid w:val="BF874C25"/>
    <w:rsid w:val="BFEADDC0"/>
    <w:rsid w:val="BFF6DFEF"/>
    <w:rsid w:val="BFFD11FF"/>
    <w:rsid w:val="C4DFB3ED"/>
    <w:rsid w:val="C6BF33F8"/>
    <w:rsid w:val="C6DC31B6"/>
    <w:rsid w:val="C75F6086"/>
    <w:rsid w:val="C7F7ED2D"/>
    <w:rsid w:val="CB5F7A9A"/>
    <w:rsid w:val="CE5F1EA0"/>
    <w:rsid w:val="CE7FBFAD"/>
    <w:rsid w:val="CFAF854E"/>
    <w:rsid w:val="CFDF238B"/>
    <w:rsid w:val="D3F9E89A"/>
    <w:rsid w:val="D7DF9B2C"/>
    <w:rsid w:val="D8D7928E"/>
    <w:rsid w:val="D8FE3136"/>
    <w:rsid w:val="DBF7AC70"/>
    <w:rsid w:val="DDDE60B7"/>
    <w:rsid w:val="DE9F6A22"/>
    <w:rsid w:val="DEAF5EFE"/>
    <w:rsid w:val="DEFD596A"/>
    <w:rsid w:val="DF4FCE6A"/>
    <w:rsid w:val="DF6F6D7F"/>
    <w:rsid w:val="DF9F8927"/>
    <w:rsid w:val="DFBA712E"/>
    <w:rsid w:val="DFCFF945"/>
    <w:rsid w:val="DFFAF4E7"/>
    <w:rsid w:val="E4FED278"/>
    <w:rsid w:val="E57EC379"/>
    <w:rsid w:val="E5EF3CFB"/>
    <w:rsid w:val="E6040F63"/>
    <w:rsid w:val="E7FBDADA"/>
    <w:rsid w:val="EAFF5C8C"/>
    <w:rsid w:val="EBFAF900"/>
    <w:rsid w:val="EDAA365C"/>
    <w:rsid w:val="EDADFC12"/>
    <w:rsid w:val="EECD434A"/>
    <w:rsid w:val="EF1FBF75"/>
    <w:rsid w:val="EFAF4217"/>
    <w:rsid w:val="EFBBE900"/>
    <w:rsid w:val="EFCF27CA"/>
    <w:rsid w:val="EFEF5B79"/>
    <w:rsid w:val="EFF79772"/>
    <w:rsid w:val="F2FD229B"/>
    <w:rsid w:val="F3F9C8ED"/>
    <w:rsid w:val="F57B27CB"/>
    <w:rsid w:val="F5F945BC"/>
    <w:rsid w:val="F5FDC77D"/>
    <w:rsid w:val="F67F342C"/>
    <w:rsid w:val="F6E58E84"/>
    <w:rsid w:val="F6FAD91A"/>
    <w:rsid w:val="F7BF2B9F"/>
    <w:rsid w:val="F7F709E9"/>
    <w:rsid w:val="F7FD5D58"/>
    <w:rsid w:val="F7FF3690"/>
    <w:rsid w:val="F83E353B"/>
    <w:rsid w:val="F97F468E"/>
    <w:rsid w:val="F9BD3900"/>
    <w:rsid w:val="FA7FF77D"/>
    <w:rsid w:val="FAFF714C"/>
    <w:rsid w:val="FBF69CF7"/>
    <w:rsid w:val="FBF76A11"/>
    <w:rsid w:val="FC8B9876"/>
    <w:rsid w:val="FDF3256E"/>
    <w:rsid w:val="FDFE3ABC"/>
    <w:rsid w:val="FDFF5035"/>
    <w:rsid w:val="FE53F8CE"/>
    <w:rsid w:val="FE5E4BF5"/>
    <w:rsid w:val="FEDFF218"/>
    <w:rsid w:val="FEDFFFFF"/>
    <w:rsid w:val="FEF3168A"/>
    <w:rsid w:val="FEF55B81"/>
    <w:rsid w:val="FFD7D34D"/>
    <w:rsid w:val="FFEB6C44"/>
    <w:rsid w:val="FFEF3D29"/>
    <w:rsid w:val="FFFA1C23"/>
    <w:rsid w:val="FFFBB159"/>
    <w:rsid w:val="FFFCD08E"/>
    <w:rsid w:val="FFFE469E"/>
    <w:rsid w:val="FFFF578D"/>
    <w:rsid w:val="FFFF6DA9"/>
    <w:rsid w:val="FFFF8A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false"/>
    </c:title>
    <c:autoTitleDeleted val="false"/>
    <c:plotArea>
      <c:layout/>
      <c:pieChart>
        <c:varyColors val="true"/>
        <c:ser>
          <c:idx val="0"/>
          <c:order val="0"/>
          <c:tx>
            <c:strRef>
              <c:f>Sheet1!$B$1</c:f>
              <c:strCache>
                <c:ptCount val="1"/>
                <c:pt idx="0">
                  <c:v>收入</c:v>
                </c:pt>
              </c:strCache>
            </c:strRef>
          </c:tx>
          <c:explosion val="0"/>
          <c:dPt>
            <c:idx val="0"/>
            <c:bubble3D val="false"/>
          </c:dPt>
          <c:dPt>
            <c:idx val="1"/>
            <c:bubble3D val="false"/>
          </c:dPt>
          <c:dPt>
            <c:idx val="2"/>
            <c:bubble3D val="false"/>
          </c:dPt>
          <c:dPt>
            <c:idx val="3"/>
            <c:bubble3D val="false"/>
          </c:dPt>
          <c:dPt>
            <c:idx val="4"/>
            <c:bubble3D val="false"/>
          </c:dPt>
          <c:dPt>
            <c:idx val="5"/>
            <c:bubble3D val="false"/>
          </c:dPt>
          <c:dLbls>
            <c:numFmt formatCode="0.00%" sourceLinked="false"/>
            <c:spPr>
              <a:noFill/>
              <a:ln>
                <a:noFill/>
              </a:ln>
              <a:effectLst/>
            </c:spPr>
            <c:txPr>
              <a:bodyPr rot="0" spcFirstLastPara="0" vertOverflow="ellipsis" vert="horz" wrap="square" lIns="38100" tIns="19050" rIns="38100" bIns="19050" anchor="ctr" anchorCtr="true"/>
              <a:lstStyle/>
              <a:p>
                <a:pPr>
                  <a:defRPr lang="zh-CN" sz="1000" b="0" i="0" u="none" strike="noStrike" kern="1200" baseline="0">
                    <a:solidFill>
                      <a:schemeClr val="tx1"/>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973.94</c:v>
                </c:pt>
                <c:pt idx="1">
                  <c:v>0</c:v>
                </c:pt>
                <c:pt idx="2">
                  <c:v>0</c:v>
                </c:pt>
                <c:pt idx="3">
                  <c:v>0</c:v>
                </c:pt>
                <c:pt idx="4">
                  <c:v>0</c:v>
                </c:pt>
                <c:pt idx="5">
                  <c:v>0.1</c:v>
                </c:pt>
              </c:numCache>
            </c:numRef>
          </c:val>
        </c:ser>
        <c:dLbls>
          <c:showLegendKey val="false"/>
          <c:showVal val="true"/>
          <c:showCatName val="false"/>
          <c:showSerName val="false"/>
          <c:showPercent val="false"/>
          <c:showBubbleSize val="false"/>
          <c:showLeaderLines val="true"/>
        </c:dLbls>
        <c:firstSliceAng val="0"/>
      </c:pieChart>
    </c:plotArea>
    <c:legend>
      <c:legendPos val="r"/>
      <c:layout/>
      <c:overlay val="false"/>
      <c:txPr>
        <a:bodyPr rot="0" spcFirstLastPara="0" vertOverflow="ellipsis" vert="horz" wrap="square" anchor="ctr" anchorCtr="true"/>
        <a:lstStyle/>
        <a:p>
          <a:pPr>
            <a:defRPr lang="zh-CN" sz="1000" b="0" i="0" u="none" strike="noStrike" kern="1200" baseline="0">
              <a:solidFill>
                <a:schemeClr val="tx1"/>
              </a:solidFill>
              <a:latin typeface="+mn-lt"/>
              <a:ea typeface="+mn-ea"/>
              <a:cs typeface="+mn-cs"/>
            </a:defRPr>
          </a:pPr>
        </a:p>
      </c:txPr>
    </c:legend>
    <c:plotVisOnly val="true"/>
    <c:dispBlanksAs val="gap"/>
    <c:showDLblsOverMax val="false"/>
  </c:chart>
  <c:txPr>
    <a:bodyPr/>
    <a:lstStyle/>
    <a:p>
      <a:pPr>
        <a:defRPr lang="zh-CN"/>
      </a:pPr>
    </a:p>
  </c:txPr>
  <c:externalData r:id="rId1">
    <c:autoUpdate val="false"/>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false"/>
  <c:lang val="zh-CN"/>
  <c:roundedCorners val="false"/>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true"/>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false"/>
      <c:spPr>
        <a:noFill/>
        <a:ln>
          <a:noFill/>
        </a:ln>
        <a:effectLst/>
      </c:spPr>
    </c:title>
    <c:autoTitleDeleted val="false"/>
    <c:plotArea>
      <c:layout/>
      <c:pieChart>
        <c:varyColors val="true"/>
        <c:ser>
          <c:idx val="0"/>
          <c:order val="0"/>
          <c:tx>
            <c:strRef>
              <c:f>Sheet0!$B$1</c:f>
              <c:strCache>
                <c:ptCount val="1"/>
                <c:pt idx="0">
                  <c:v>支出</c:v>
                </c:pt>
              </c:strCache>
            </c:strRef>
          </c:tx>
          <c:explosion val="0"/>
          <c:dPt>
            <c:idx val="0"/>
            <c:bubble3D val="false"/>
            <c:spPr>
              <a:solidFill>
                <a:srgbClr val="4F81BD"/>
              </a:solidFill>
              <a:ln w="19050">
                <a:solidFill>
                  <a:srgbClr val="FFFFFF"/>
                </a:solidFill>
              </a:ln>
              <a:effectLst/>
            </c:spPr>
          </c:dPt>
          <c:dPt>
            <c:idx val="1"/>
            <c:bubble3D val="false"/>
            <c:spPr>
              <a:solidFill>
                <a:srgbClr val="C0504D"/>
              </a:solidFill>
              <a:ln w="19050">
                <a:solidFill>
                  <a:srgbClr val="FFFFFF"/>
                </a:solidFill>
              </a:ln>
              <a:effectLst/>
            </c:spPr>
          </c:dPt>
          <c:dPt>
            <c:idx val="2"/>
            <c:bubble3D val="false"/>
            <c:spPr>
              <a:solidFill>
                <a:srgbClr val="9BBB59"/>
              </a:solidFill>
              <a:ln w="19050">
                <a:solidFill>
                  <a:srgbClr val="FFFFFF"/>
                </a:solidFill>
              </a:ln>
              <a:effectLst/>
            </c:spPr>
          </c:dPt>
          <c:dPt>
            <c:idx val="3"/>
            <c:bubble3D val="false"/>
            <c:spPr>
              <a:solidFill>
                <a:srgbClr val="8064A2"/>
              </a:solidFill>
              <a:ln w="19050">
                <a:solidFill>
                  <a:srgbClr val="FFFFFF"/>
                </a:solidFill>
              </a:ln>
              <a:effectLst/>
            </c:spPr>
          </c:dPt>
          <c:dPt>
            <c:idx val="4"/>
            <c:bubble3D val="false"/>
            <c:spPr>
              <a:solidFill>
                <a:srgbClr val="4BACC6"/>
              </a:solidFill>
              <a:ln w="19050">
                <a:solidFill>
                  <a:srgbClr val="FFFFFF"/>
                </a:solidFill>
              </a:ln>
              <a:effectLst/>
            </c:spPr>
          </c:dPt>
          <c:dLbls>
            <c:dLbl>
              <c:idx val="2"/>
              <c:layout>
                <c:manualLayout>
                  <c:x val="-0.03900372940115"/>
                  <c:y val="0.0328271436107878"/>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dLbl>
              <c:idx val="4"/>
              <c:layout>
                <c:manualLayout>
                  <c:x val="0.0389887693586102"/>
                  <c:y val="0.0105112295100623"/>
                </c:manualLayout>
              </c:layout>
              <c:dLblPos val="bestFit"/>
              <c:showLegendKey val="false"/>
              <c:showVal val="false"/>
              <c:showCatName val="false"/>
              <c:showSerName val="false"/>
              <c:showPercent val="true"/>
              <c:showBubbleSize val="false"/>
              <c:extLst>
                <c:ext xmlns:c15="http://schemas.microsoft.com/office/drawing/2012/chart" uri="{CE6537A1-D6FC-4f65-9D91-7224C49458BB}">
                  <c15:layout/>
                </c:ext>
              </c:extLst>
            </c:dLbl>
            <c:numFmt formatCode="0.00%" sourceLinked="false"/>
            <c:spPr>
              <a:noFill/>
              <a:ln>
                <a:noFill/>
              </a:ln>
              <a:effectLst/>
            </c:spPr>
            <c:txPr>
              <a:bodyPr rot="0" spcFirstLastPara="0" vertOverflow="ellipsis" vert="horz" wrap="square" lIns="38100" tIns="19050" rIns="38100" bIns="19050" anchor="ctr" anchorCtr="true"/>
              <a:lstStyle/>
              <a:p>
                <a:pPr>
                  <a:defRPr lang="zh-CN" sz="900" b="0" i="0" u="none" strike="noStrike" kern="1200" baseline="0">
                    <a:solidFill>
                      <a:schemeClr val="tx1"/>
                    </a:solidFill>
                    <a:latin typeface="+mn-lt"/>
                    <a:ea typeface="+mn-ea"/>
                    <a:cs typeface="+mn-cs"/>
                  </a:defRPr>
                </a:pPr>
              </a:p>
            </c:txPr>
            <c:dLblPos val="bestFit"/>
            <c:showLegendKey val="false"/>
            <c:showVal val="false"/>
            <c:showCatName val="false"/>
            <c:showSerName val="false"/>
            <c:showPercent val="true"/>
            <c:showBubbleSize val="false"/>
            <c:showLeaderLines val="true"/>
            <c:extLst>
              <c:ext xmlns:c15="http://schemas.microsoft.com/office/drawing/2012/chart" uri="{CE6537A1-D6FC-4f65-9D91-7224C49458BB}">
                <c15:layout/>
                <c15:showLeaderLines val="true"/>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614.09</c:v>
                </c:pt>
                <c:pt idx="1">
                  <c:v>314.9</c:v>
                </c:pt>
                <c:pt idx="2">
                  <c:v>0</c:v>
                </c:pt>
                <c:pt idx="3">
                  <c:v>0</c:v>
                </c:pt>
                <c:pt idx="4">
                  <c:v>0</c:v>
                </c:pt>
              </c:numCache>
            </c:numRef>
          </c:val>
        </c:ser>
        <c:dLbls>
          <c:showLegendKey val="false"/>
          <c:showVal val="false"/>
          <c:showCatName val="false"/>
          <c:showSerName val="false"/>
          <c:showPercent val="true"/>
          <c:showBubbleSize val="false"/>
          <c:showLeaderLines val="true"/>
        </c:dLbls>
        <c:firstSliceAng val="0"/>
      </c:pieChart>
      <c:spPr>
        <a:noFill/>
        <a:ln>
          <a:noFill/>
        </a:ln>
        <a:effectLst/>
      </c:spPr>
    </c:plotArea>
    <c:legend>
      <c:legendPos val="b"/>
      <c:legendEntry>
        <c:idx val="0"/>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Entry>
      <c:layout/>
      <c:overlay val="false"/>
      <c:spPr>
        <a:noFill/>
        <a:ln>
          <a:noFill/>
        </a:ln>
        <a:effectLst/>
      </c:spPr>
      <c:txPr>
        <a:bodyPr rot="0" spcFirstLastPara="0" vertOverflow="ellipsis" vert="horz" wrap="square" anchor="ctr" anchorCtr="true"/>
        <a:lstStyle/>
        <a:p>
          <a:pPr>
            <a:defRPr lang="zh-CN" sz="900" b="0" i="0" u="none" strike="noStrike" kern="1200" baseline="0">
              <a:solidFill>
                <a:schemeClr val="tx1"/>
              </a:solidFill>
              <a:latin typeface="+mn-lt"/>
              <a:ea typeface="+mn-ea"/>
              <a:cs typeface="+mn-cs"/>
            </a:defRPr>
          </a:pPr>
        </a:p>
      </c:txPr>
    </c:legend>
    <c:plotVisOnly val="true"/>
    <c:dispBlanksAs val="gap"/>
    <c:showDLblsOverMax val="false"/>
  </c:chart>
  <c:spPr>
    <a:ln w="9525" cap="flat" cmpd="sng" algn="ctr">
      <a:solidFill>
        <a:srgbClr val="D9D9D9">
          <a:lumMod val="15000"/>
          <a:lumOff val="85000"/>
        </a:srgbClr>
      </a:solidFill>
      <a:prstDash val="solid"/>
      <a:round/>
    </a:ln>
    <a:effectLst/>
  </c:spPr>
  <c:txPr>
    <a:bodyPr/>
    <a:lstStyle/>
    <a:p>
      <a:pPr>
        <a:defRPr lang="zh-CN"/>
      </a:pPr>
    </a:p>
  </c:txPr>
  <c:externalData r:id="rId1">
    <c:autoUpdate val="false"/>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3432</Words>
  <Characters>5758</Characters>
  <Lines>44</Lines>
  <Paragraphs>12</Paragraphs>
  <TotalTime>0</TotalTime>
  <ScaleCrop>false</ScaleCrop>
  <LinksUpToDate>false</LinksUpToDate>
  <CharactersWithSpaces>5779</CharactersWithSpaces>
  <Application>WPS Office_11.8.2.9980_F1E327BC-269C-435d-A152-05C5408002CA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2017-07-14T15:16:00Z</dcterms:created>
  <dc:creator>常程</dc:creator>
  <cp:lastModifiedBy>ceshi</cp:lastModifiedBy>
  <cp:lastPrinted>2025-08-23T10:30:00Z</cp:lastPrinted>
  <dcterms:modified xsi:type="dcterms:W3CDTF">2025-09-10T11:10:25Z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2052-11.8.2.9980</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