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ind w:firstLine="880" w:firstLineChars="200"/>
        <w:jc w:val="center"/>
        <w:textAlignment w:val="auto"/>
        <w:rPr>
          <w:rFonts w:hint="eastAsia" w:ascii="方正小标宋_GBK" w:hAnsi="方正小标宋_GBK" w:eastAsia="方正小标宋_GBK" w:cs="方正小标宋_GBK"/>
          <w:b w:val="0"/>
          <w:bCs w:val="0"/>
          <w:sz w:val="44"/>
          <w:szCs w:val="44"/>
          <w:highlight w:val="none"/>
        </w:rPr>
      </w:pPr>
      <w:r>
        <w:rPr>
          <w:rFonts w:hint="eastAsia" w:ascii="方正小标宋_GBK" w:hAnsi="方正小标宋_GBK" w:eastAsia="方正小标宋_GBK" w:cs="方正小标宋_GBK"/>
          <w:b w:val="0"/>
          <w:bCs w:val="0"/>
          <w:sz w:val="44"/>
          <w:szCs w:val="44"/>
          <w:highlight w:val="none"/>
        </w:rPr>
        <w:t>北京大运河博物馆（首都博物馆东馆）</w:t>
      </w:r>
    </w:p>
    <w:p>
      <w:pPr>
        <w:keepNext w:val="0"/>
        <w:keepLines w:val="0"/>
        <w:pageBreakBefore w:val="0"/>
        <w:widowControl w:val="0"/>
        <w:kinsoku/>
        <w:wordWrap/>
        <w:overflowPunct/>
        <w:topLinePunct w:val="0"/>
        <w:autoSpaceDE/>
        <w:autoSpaceDN/>
        <w:bidi w:val="0"/>
        <w:adjustRightInd w:val="0"/>
        <w:snapToGrid w:val="0"/>
        <w:spacing w:line="560" w:lineRule="exact"/>
        <w:ind w:firstLine="880" w:firstLineChars="200"/>
        <w:jc w:val="center"/>
        <w:textAlignment w:val="auto"/>
        <w:rPr>
          <w:rFonts w:hint="eastAsia" w:ascii="方正小标宋_GBK" w:hAnsi="方正小标宋_GBK" w:eastAsia="方正小标宋_GBK" w:cs="方正小标宋_GBK"/>
          <w:b w:val="0"/>
          <w:bCs w:val="0"/>
          <w:sz w:val="44"/>
          <w:szCs w:val="44"/>
          <w:highlight w:val="none"/>
        </w:rPr>
      </w:pPr>
      <w:r>
        <w:rPr>
          <w:rFonts w:hint="eastAsia" w:ascii="方正小标宋_GBK" w:hAnsi="方正小标宋_GBK" w:eastAsia="方正小标宋_GBK" w:cs="方正小标宋_GBK"/>
          <w:b w:val="0"/>
          <w:bCs w:val="0"/>
          <w:sz w:val="44"/>
          <w:szCs w:val="44"/>
          <w:highlight w:val="none"/>
        </w:rPr>
        <w:t>运维费-开放秩序维护服务项目支出</w:t>
      </w:r>
    </w:p>
    <w:p>
      <w:pPr>
        <w:keepNext w:val="0"/>
        <w:keepLines w:val="0"/>
        <w:pageBreakBefore w:val="0"/>
        <w:widowControl w:val="0"/>
        <w:kinsoku/>
        <w:wordWrap/>
        <w:overflowPunct/>
        <w:topLinePunct w:val="0"/>
        <w:autoSpaceDE/>
        <w:autoSpaceDN/>
        <w:bidi w:val="0"/>
        <w:adjustRightInd w:val="0"/>
        <w:snapToGrid w:val="0"/>
        <w:spacing w:line="560" w:lineRule="exact"/>
        <w:ind w:firstLine="880" w:firstLineChars="200"/>
        <w:jc w:val="center"/>
        <w:textAlignment w:val="auto"/>
        <w:rPr>
          <w:rFonts w:hint="default" w:ascii="Times New Roman" w:hAnsi="Times New Roman" w:eastAsia="宋体" w:cs="Times New Roman"/>
          <w:b/>
          <w:bCs/>
          <w:sz w:val="36"/>
          <w:szCs w:val="36"/>
          <w:highlight w:val="none"/>
        </w:rPr>
      </w:pPr>
      <w:r>
        <w:rPr>
          <w:rFonts w:hint="eastAsia" w:ascii="方正小标宋_GBK" w:hAnsi="方正小标宋_GBK" w:eastAsia="方正小标宋_GBK" w:cs="方正小标宋_GBK"/>
          <w:b w:val="0"/>
          <w:bCs w:val="0"/>
          <w:sz w:val="44"/>
          <w:szCs w:val="44"/>
          <w:highlight w:val="none"/>
        </w:rPr>
        <w:t>绩效评价报告</w:t>
      </w:r>
    </w:p>
    <w:p>
      <w:pPr>
        <w:adjustRightInd w:val="0"/>
        <w:snapToGrid w:val="0"/>
        <w:spacing w:line="360" w:lineRule="auto"/>
        <w:ind w:firstLine="640" w:firstLineChars="200"/>
        <w:jc w:val="center"/>
        <w:rPr>
          <w:rFonts w:hint="default" w:ascii="Times New Roman" w:hAnsi="Times New Roman" w:eastAsia="仿宋_GB2312" w:cs="Times New Roman"/>
          <w:sz w:val="32"/>
          <w:szCs w:val="32"/>
          <w:highlight w:val="none"/>
        </w:rPr>
      </w:pPr>
    </w:p>
    <w:p>
      <w:pPr>
        <w:adjustRightInd w:val="0"/>
        <w:snapToGrid w:val="0"/>
        <w:spacing w:line="360" w:lineRule="auto"/>
        <w:ind w:firstLine="640" w:firstLineChars="200"/>
        <w:outlineLvl w:val="0"/>
        <w:rPr>
          <w:rFonts w:hint="eastAsia" w:ascii="方正黑体_GBK" w:hAnsi="方正黑体_GBK" w:eastAsia="方正黑体_GBK" w:cs="方正黑体_GBK"/>
          <w:b w:val="0"/>
          <w:bCs w:val="0"/>
          <w:color w:val="000000"/>
          <w:kern w:val="0"/>
          <w:sz w:val="32"/>
          <w:szCs w:val="32"/>
          <w:highlight w:val="none"/>
        </w:rPr>
      </w:pPr>
      <w:bookmarkStart w:id="0" w:name="_Toc12364"/>
      <w:r>
        <w:rPr>
          <w:rFonts w:hint="eastAsia" w:ascii="方正黑体_GBK" w:hAnsi="方正黑体_GBK" w:eastAsia="方正黑体_GBK" w:cs="方正黑体_GBK"/>
          <w:b w:val="0"/>
          <w:bCs w:val="0"/>
          <w:color w:val="000000"/>
          <w:kern w:val="0"/>
          <w:sz w:val="32"/>
          <w:szCs w:val="32"/>
          <w:highlight w:val="none"/>
        </w:rPr>
        <w:t>一、基本情况</w:t>
      </w:r>
      <w:bookmarkEnd w:id="0"/>
    </w:p>
    <w:p>
      <w:pPr>
        <w:adjustRightInd w:val="0"/>
        <w:snapToGrid w:val="0"/>
        <w:spacing w:line="360" w:lineRule="auto"/>
        <w:ind w:firstLine="640" w:firstLineChars="200"/>
        <w:outlineLvl w:val="1"/>
        <w:rPr>
          <w:rFonts w:hint="eastAsia" w:ascii="方正楷体_GBK" w:hAnsi="方正楷体_GBK" w:eastAsia="方正楷体_GBK" w:cs="方正楷体_GBK"/>
          <w:b w:val="0"/>
          <w:bCs w:val="0"/>
          <w:color w:val="000000"/>
          <w:kern w:val="0"/>
          <w:sz w:val="32"/>
          <w:szCs w:val="32"/>
          <w:highlight w:val="none"/>
        </w:rPr>
      </w:pPr>
      <w:bookmarkStart w:id="1" w:name="_Toc26408"/>
      <w:r>
        <w:rPr>
          <w:rFonts w:hint="eastAsia" w:ascii="方正楷体_GBK" w:hAnsi="方正楷体_GBK" w:eastAsia="方正楷体_GBK" w:cs="方正楷体_GBK"/>
          <w:b w:val="0"/>
          <w:bCs w:val="0"/>
          <w:color w:val="000000"/>
          <w:kern w:val="0"/>
          <w:sz w:val="32"/>
          <w:szCs w:val="32"/>
          <w:highlight w:val="none"/>
        </w:rPr>
        <w:t>（一）项目概况</w:t>
      </w:r>
      <w:bookmarkEnd w:id="1"/>
    </w:p>
    <w:p>
      <w:pPr>
        <w:adjustRightInd w:val="0"/>
        <w:snapToGrid w:val="0"/>
        <w:spacing w:line="360" w:lineRule="auto"/>
        <w:ind w:firstLine="640" w:firstLineChars="200"/>
        <w:outlineLvl w:val="2"/>
        <w:rPr>
          <w:rFonts w:hint="eastAsia" w:ascii="CESI仿宋-GB2312" w:hAnsi="CESI仿宋-GB2312" w:eastAsia="CESI仿宋-GB2312" w:cs="CESI仿宋-GB2312"/>
          <w:color w:val="000000"/>
          <w:kern w:val="0"/>
          <w:sz w:val="32"/>
          <w:szCs w:val="32"/>
          <w:highlight w:val="none"/>
        </w:rPr>
      </w:pPr>
      <w:r>
        <w:rPr>
          <w:rFonts w:hint="eastAsia" w:ascii="CESI仿宋-GB2312" w:hAnsi="CESI仿宋-GB2312" w:eastAsia="CESI仿宋-GB2312" w:cs="CESI仿宋-GB2312"/>
          <w:color w:val="000000"/>
          <w:kern w:val="0"/>
          <w:sz w:val="32"/>
          <w:szCs w:val="32"/>
          <w:highlight w:val="none"/>
        </w:rPr>
        <w:t>1.项目背景</w:t>
      </w:r>
    </w:p>
    <w:p>
      <w:pPr>
        <w:adjustRightInd w:val="0"/>
        <w:snapToGrid w:val="0"/>
        <w:spacing w:line="360" w:lineRule="auto"/>
        <w:ind w:firstLine="640" w:firstLineChars="200"/>
        <w:outlineLvl w:val="2"/>
        <w:rPr>
          <w:rFonts w:hint="eastAsia" w:ascii="CESI仿宋-GB2312" w:hAnsi="CESI仿宋-GB2312" w:eastAsia="CESI仿宋-GB2312" w:cs="CESI仿宋-GB2312"/>
          <w:color w:val="000000"/>
          <w:kern w:val="0"/>
          <w:sz w:val="32"/>
          <w:szCs w:val="32"/>
          <w:highlight w:val="none"/>
        </w:rPr>
      </w:pPr>
      <w:r>
        <w:rPr>
          <w:rFonts w:hint="eastAsia" w:ascii="CESI仿宋-GB2312" w:hAnsi="CESI仿宋-GB2312" w:eastAsia="CESI仿宋-GB2312" w:cs="CESI仿宋-GB2312"/>
          <w:color w:val="000000"/>
          <w:kern w:val="0"/>
          <w:sz w:val="32"/>
          <w:szCs w:val="32"/>
          <w:highlight w:val="none"/>
        </w:rPr>
        <w:t>北京大运河博物馆（首都博物馆东馆）是贯彻落实习近平总书记关于大运河保护传承利用重要批示指示精神的重要成果，也是推动京津冀协同发展和全国文化中心建设的标志性项目。根据北京市委宣传部的统一部署，东馆于2023年年底与城市绿心三大文化建筑同步对公众开放。为保障东馆在2023年底实现有序开放和运营，专门申请设立了“北京大运河博物馆运维费”项目，并将“开放秩序维护服务”作为其子项目同步设立，旨在弥补博物馆用工不足，为观众提供更优质的参观体验。自2023年12月27日正式开馆以来，东馆在2024年作为新馆运行首年，继续通过“运维费-开放秩序维护服务”项目保障开放运营与观众服务，有效维护了博物馆的正常秩序，发挥了基础支撑作用。</w:t>
      </w:r>
    </w:p>
    <w:p>
      <w:pPr>
        <w:adjustRightInd w:val="0"/>
        <w:snapToGrid w:val="0"/>
        <w:spacing w:line="360" w:lineRule="auto"/>
        <w:ind w:firstLine="640" w:firstLineChars="200"/>
        <w:outlineLvl w:val="2"/>
        <w:rPr>
          <w:rFonts w:hint="eastAsia" w:ascii="CESI仿宋-GB2312" w:hAnsi="CESI仿宋-GB2312" w:eastAsia="CESI仿宋-GB2312" w:cs="CESI仿宋-GB2312"/>
          <w:color w:val="000000"/>
          <w:kern w:val="0"/>
          <w:sz w:val="32"/>
          <w:szCs w:val="32"/>
          <w:highlight w:val="none"/>
        </w:rPr>
      </w:pPr>
      <w:r>
        <w:rPr>
          <w:rFonts w:hint="eastAsia" w:ascii="CESI仿宋-GB2312" w:hAnsi="CESI仿宋-GB2312" w:eastAsia="CESI仿宋-GB2312" w:cs="CESI仿宋-GB2312"/>
          <w:color w:val="000000"/>
          <w:kern w:val="0"/>
          <w:sz w:val="32"/>
          <w:szCs w:val="32"/>
          <w:highlight w:val="none"/>
        </w:rPr>
        <w:t>2.主要内容及实施情况</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该项目的主要内容为确保北京大运河博物馆（首都博物馆东馆）东馆展厅安全及秩序维护等工作有效开展，采购开放秩序维护服务，为保障服务顺利开展，需提供至少201名服务人员，其中开放秩序维护服务需要提供管理人员至少8名，提供秩序人员至少144名，提供开放服务人员至少46名（包含医护人员2人），提供传达室人员至少3人。实际项目实施时，首都博物馆通过公开招标方式确定中标供应服务商，各岗位需求的201人进场提供服务。</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3.资金投入和使用情况</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该项目2024年申请预算资金总额1939.911924万元，其中根据北京市文物局《关于批复2024年预算的函》（京文物〔2024〕195号）于2024年年初批复预算969.955962万元；根据北京市财政局《关于追加市文物局大运河博物馆首都博物馆东馆文物保护中心设备设施购置等项目预算的函》（京财科文指〔2024〕1892号）于2024年年中追加预算969.955962万元。截至2024年12月30日，实际支出1939.911924万元，预算执行率达100%。</w:t>
      </w:r>
    </w:p>
    <w:p>
      <w:pPr>
        <w:adjustRightInd w:val="0"/>
        <w:snapToGrid w:val="0"/>
        <w:spacing w:line="360" w:lineRule="auto"/>
        <w:ind w:firstLine="640" w:firstLineChars="200"/>
        <w:outlineLvl w:val="1"/>
        <w:rPr>
          <w:rFonts w:hint="default" w:ascii="方正楷体_GBK" w:hAnsi="方正楷体_GBK" w:eastAsia="方正楷体_GBK" w:cs="方正楷体_GBK"/>
          <w:b w:val="0"/>
          <w:bCs w:val="0"/>
          <w:color w:val="000000"/>
          <w:kern w:val="0"/>
          <w:sz w:val="32"/>
          <w:szCs w:val="32"/>
          <w:highlight w:val="none"/>
        </w:rPr>
      </w:pPr>
      <w:bookmarkStart w:id="2" w:name="_Toc8555"/>
      <w:r>
        <w:rPr>
          <w:rFonts w:hint="default" w:ascii="方正楷体_GBK" w:hAnsi="方正楷体_GBK" w:eastAsia="方正楷体_GBK" w:cs="方正楷体_GBK"/>
          <w:b w:val="0"/>
          <w:bCs w:val="0"/>
          <w:color w:val="000000"/>
          <w:kern w:val="0"/>
          <w:sz w:val="32"/>
          <w:szCs w:val="32"/>
          <w:highlight w:val="none"/>
        </w:rPr>
        <w:t>（二）项目绩效目标</w:t>
      </w:r>
      <w:bookmarkEnd w:id="2"/>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1.年度目标设置情况</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为了保证北京大运河博物馆（首都博物馆东馆）正常实现社会功能，有效预防和应对各类突发事件，确保人员、文物、场所安全，确保博物馆正常运营秩序，是保障观众获得高质量服务的重要支撑和组成部分。主要包括一般管理人员（保安、车场、安全巡视、门岗、安检、内勤）；开放、秩序专项；传达室等岗位社会化用工的采购。本项目拟招募一线服务人员201人，以保证东馆的正常开放运营。</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2.具体指标及指标值设置情况</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围绕年度目标情况，首都博物馆设置了具体的指标及指标值，具体设置情况如下：</w:t>
      </w:r>
    </w:p>
    <w:p>
      <w:pPr>
        <w:keepNext w:val="0"/>
        <w:keepLines w:val="0"/>
        <w:pageBreakBefore w:val="0"/>
        <w:widowControl/>
        <w:kinsoku/>
        <w:wordWrap/>
        <w:overflowPunct/>
        <w:topLinePunct w:val="0"/>
        <w:autoSpaceDE/>
        <w:autoSpaceDN/>
        <w:bidi w:val="0"/>
        <w:adjustRightInd w:val="0"/>
        <w:snapToGrid w:val="0"/>
        <w:spacing w:line="240" w:lineRule="auto"/>
        <w:ind w:firstLine="420" w:firstLineChars="200"/>
        <w:jc w:val="center"/>
        <w:rPr>
          <w:rFonts w:hint="eastAsia" w:asciiTheme="minorEastAsia" w:hAnsiTheme="minorEastAsia" w:eastAsiaTheme="minorEastAsia" w:cstheme="minorEastAsia"/>
          <w:b w:val="0"/>
          <w:bCs w:val="0"/>
          <w:color w:val="000000"/>
          <w:kern w:val="0"/>
          <w:szCs w:val="21"/>
          <w:highlight w:val="none"/>
          <w:lang w:bidi="ar"/>
        </w:rPr>
      </w:pPr>
      <w:r>
        <w:rPr>
          <w:rFonts w:hint="eastAsia" w:asciiTheme="minorEastAsia" w:hAnsiTheme="minorEastAsia" w:eastAsiaTheme="minorEastAsia" w:cstheme="minorEastAsia"/>
          <w:b w:val="0"/>
          <w:bCs w:val="0"/>
          <w:szCs w:val="21"/>
          <w:highlight w:val="none"/>
        </w:rPr>
        <w:t>2024年度项目绩效目标申报表</w:t>
      </w:r>
    </w:p>
    <w:tbl>
      <w:tblPr>
        <w:tblStyle w:val="11"/>
        <w:tblW w:w="5113" w:type="pct"/>
        <w:jc w:val="center"/>
        <w:tblLayout w:type="fixed"/>
        <w:tblCellMar>
          <w:top w:w="0" w:type="dxa"/>
          <w:left w:w="108" w:type="dxa"/>
          <w:bottom w:w="0" w:type="dxa"/>
          <w:right w:w="108" w:type="dxa"/>
        </w:tblCellMar>
      </w:tblPr>
      <w:tblGrid>
        <w:gridCol w:w="1296"/>
        <w:gridCol w:w="1375"/>
        <w:gridCol w:w="2625"/>
        <w:gridCol w:w="1125"/>
        <w:gridCol w:w="1212"/>
        <w:gridCol w:w="1082"/>
      </w:tblGrid>
      <w:tr>
        <w:tblPrEx>
          <w:tblCellMar>
            <w:top w:w="0" w:type="dxa"/>
            <w:left w:w="108" w:type="dxa"/>
            <w:bottom w:w="0" w:type="dxa"/>
            <w:right w:w="108" w:type="dxa"/>
          </w:tblCellMar>
        </w:tblPrEx>
        <w:trPr>
          <w:trHeight w:val="795" w:hRule="atLeast"/>
          <w:jc w:val="center"/>
        </w:trPr>
        <w:tc>
          <w:tcPr>
            <w:tcW w:w="74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一级指标</w:t>
            </w:r>
          </w:p>
        </w:tc>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二级指标</w:t>
            </w:r>
          </w:p>
        </w:tc>
        <w:tc>
          <w:tcPr>
            <w:tcW w:w="1506"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三级指标</w:t>
            </w:r>
          </w:p>
        </w:tc>
        <w:tc>
          <w:tcPr>
            <w:tcW w:w="64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指标性质</w:t>
            </w:r>
          </w:p>
        </w:tc>
        <w:tc>
          <w:tcPr>
            <w:tcW w:w="6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指标值</w:t>
            </w:r>
          </w:p>
        </w:tc>
        <w:tc>
          <w:tcPr>
            <w:tcW w:w="6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度量单位</w:t>
            </w:r>
          </w:p>
        </w:tc>
      </w:tr>
      <w:tr>
        <w:tblPrEx>
          <w:tblCellMar>
            <w:top w:w="0" w:type="dxa"/>
            <w:left w:w="108" w:type="dxa"/>
            <w:bottom w:w="0" w:type="dxa"/>
            <w:right w:w="108" w:type="dxa"/>
          </w:tblCellMar>
        </w:tblPrEx>
        <w:trPr>
          <w:trHeight w:val="411" w:hRule="atLeast"/>
          <w:jc w:val="center"/>
        </w:trPr>
        <w:tc>
          <w:tcPr>
            <w:tcW w:w="7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产出指标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数量指标</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招募服务人员数量</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201</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人</w:t>
            </w:r>
          </w:p>
        </w:tc>
      </w:tr>
      <w:tr>
        <w:tblPrEx>
          <w:tblCellMar>
            <w:top w:w="0" w:type="dxa"/>
            <w:left w:w="108" w:type="dxa"/>
            <w:bottom w:w="0" w:type="dxa"/>
            <w:right w:w="108" w:type="dxa"/>
          </w:tblCellMar>
        </w:tblPrEx>
        <w:trPr>
          <w:trHeight w:val="285" w:hRule="atLeast"/>
          <w:jc w:val="center"/>
        </w:trPr>
        <w:tc>
          <w:tcPr>
            <w:tcW w:w="7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产出指标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质量指标</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考核通过率</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100</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w:t>
            </w:r>
          </w:p>
        </w:tc>
      </w:tr>
      <w:tr>
        <w:tblPrEx>
          <w:tblCellMar>
            <w:top w:w="0" w:type="dxa"/>
            <w:left w:w="108" w:type="dxa"/>
            <w:bottom w:w="0" w:type="dxa"/>
            <w:right w:w="108" w:type="dxa"/>
          </w:tblCellMar>
        </w:tblPrEx>
        <w:trPr>
          <w:trHeight w:val="411" w:hRule="atLeast"/>
          <w:jc w:val="center"/>
        </w:trPr>
        <w:tc>
          <w:tcPr>
            <w:tcW w:w="7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产出指标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时效指标</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服务人员入场时间</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12</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月</w:t>
            </w:r>
          </w:p>
        </w:tc>
      </w:tr>
      <w:tr>
        <w:tblPrEx>
          <w:tblCellMar>
            <w:top w:w="0" w:type="dxa"/>
            <w:left w:w="108" w:type="dxa"/>
            <w:bottom w:w="0" w:type="dxa"/>
            <w:right w:w="108" w:type="dxa"/>
          </w:tblCellMar>
        </w:tblPrEx>
        <w:trPr>
          <w:trHeight w:val="510" w:hRule="atLeast"/>
          <w:jc w:val="center"/>
        </w:trPr>
        <w:tc>
          <w:tcPr>
            <w:tcW w:w="7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效益指标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社会效益指标</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保证东馆正常开放运营</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定性</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优</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000000"/>
                <w:szCs w:val="21"/>
                <w:highlight w:val="none"/>
              </w:rPr>
            </w:pPr>
          </w:p>
        </w:tc>
      </w:tr>
      <w:tr>
        <w:tblPrEx>
          <w:tblCellMar>
            <w:top w:w="0" w:type="dxa"/>
            <w:left w:w="108" w:type="dxa"/>
            <w:bottom w:w="0" w:type="dxa"/>
            <w:right w:w="108" w:type="dxa"/>
          </w:tblCellMar>
        </w:tblPrEx>
        <w:trPr>
          <w:trHeight w:val="758" w:hRule="atLeast"/>
          <w:jc w:val="center"/>
        </w:trPr>
        <w:tc>
          <w:tcPr>
            <w:tcW w:w="7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效益指标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可持续影响指标</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确保大运河博物馆（首都博物馆东馆）安全、有序运营</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定性</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优</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spacing w:line="240" w:lineRule="auto"/>
              <w:jc w:val="center"/>
              <w:rPr>
                <w:rFonts w:hint="default" w:ascii="Times New Roman" w:hAnsi="Times New Roman" w:eastAsia="宋体" w:cs="Times New Roman"/>
                <w:color w:val="000000"/>
                <w:szCs w:val="21"/>
                <w:highlight w:val="none"/>
              </w:rPr>
            </w:pPr>
          </w:p>
        </w:tc>
      </w:tr>
      <w:tr>
        <w:tblPrEx>
          <w:tblCellMar>
            <w:top w:w="0" w:type="dxa"/>
            <w:left w:w="108" w:type="dxa"/>
            <w:bottom w:w="0" w:type="dxa"/>
            <w:right w:w="108" w:type="dxa"/>
          </w:tblCellMar>
        </w:tblPrEx>
        <w:trPr>
          <w:trHeight w:val="447" w:hRule="atLeast"/>
          <w:jc w:val="center"/>
        </w:trPr>
        <w:tc>
          <w:tcPr>
            <w:tcW w:w="7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满意度指标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服务对象满意度指标</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理者对其服务质量满意度</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90</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w:t>
            </w:r>
          </w:p>
        </w:tc>
      </w:tr>
      <w:tr>
        <w:tblPrEx>
          <w:tblCellMar>
            <w:top w:w="0" w:type="dxa"/>
            <w:left w:w="108" w:type="dxa"/>
            <w:bottom w:w="0" w:type="dxa"/>
            <w:right w:w="108" w:type="dxa"/>
          </w:tblCellMar>
        </w:tblPrEx>
        <w:trPr>
          <w:trHeight w:val="498" w:hRule="atLeast"/>
          <w:jc w:val="center"/>
        </w:trPr>
        <w:tc>
          <w:tcPr>
            <w:tcW w:w="7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成本指标</w:t>
            </w:r>
          </w:p>
        </w:tc>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经济成本指标</w:t>
            </w:r>
          </w:p>
        </w:tc>
        <w:tc>
          <w:tcPr>
            <w:tcW w:w="150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总预算控制</w:t>
            </w:r>
          </w:p>
        </w:tc>
        <w:tc>
          <w:tcPr>
            <w:tcW w:w="64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w:t>
            </w:r>
          </w:p>
        </w:tc>
        <w:tc>
          <w:tcPr>
            <w:tcW w:w="6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eastAsia" w:asciiTheme="minorEastAsia" w:hAnsiTheme="minorEastAsia" w:eastAsiaTheme="minorEastAsia" w:cstheme="minorEastAsia"/>
                <w:color w:val="000000"/>
                <w:szCs w:val="21"/>
                <w:highlight w:val="none"/>
              </w:rPr>
            </w:pPr>
            <w:r>
              <w:rPr>
                <w:rFonts w:hint="eastAsia" w:asciiTheme="minorEastAsia" w:hAnsiTheme="minorEastAsia" w:eastAsiaTheme="minorEastAsia" w:cstheme="minorEastAsia"/>
                <w:color w:val="000000"/>
                <w:kern w:val="0"/>
                <w:szCs w:val="21"/>
                <w:highlight w:val="none"/>
                <w:lang w:bidi="ar"/>
              </w:rPr>
              <w:t>1939.911924</w:t>
            </w:r>
          </w:p>
        </w:tc>
        <w:tc>
          <w:tcPr>
            <w:tcW w:w="6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auto"/>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万元</w:t>
            </w:r>
          </w:p>
        </w:tc>
      </w:tr>
    </w:tbl>
    <w:p>
      <w:pPr>
        <w:adjustRightInd w:val="0"/>
        <w:snapToGrid w:val="0"/>
        <w:spacing w:line="360" w:lineRule="auto"/>
        <w:ind w:firstLine="640" w:firstLineChars="200"/>
        <w:outlineLvl w:val="0"/>
        <w:rPr>
          <w:rFonts w:hint="default" w:ascii="方正黑体_GBK" w:hAnsi="方正黑体_GBK" w:eastAsia="方正黑体_GBK" w:cs="方正黑体_GBK"/>
          <w:b w:val="0"/>
          <w:bCs w:val="0"/>
          <w:color w:val="000000"/>
          <w:kern w:val="0"/>
          <w:sz w:val="32"/>
          <w:szCs w:val="32"/>
          <w:highlight w:val="none"/>
        </w:rPr>
      </w:pPr>
      <w:bookmarkStart w:id="3" w:name="_Toc16467"/>
      <w:r>
        <w:rPr>
          <w:rFonts w:hint="default" w:ascii="方正黑体_GBK" w:hAnsi="方正黑体_GBK" w:eastAsia="方正黑体_GBK" w:cs="方正黑体_GBK"/>
          <w:b w:val="0"/>
          <w:bCs w:val="0"/>
          <w:color w:val="000000"/>
          <w:kern w:val="0"/>
          <w:sz w:val="32"/>
          <w:szCs w:val="32"/>
          <w:highlight w:val="none"/>
        </w:rPr>
        <w:t>二、绩效评价工作开展情况</w:t>
      </w:r>
      <w:bookmarkEnd w:id="3"/>
    </w:p>
    <w:p>
      <w:pPr>
        <w:adjustRightInd w:val="0"/>
        <w:snapToGrid w:val="0"/>
        <w:spacing w:line="360" w:lineRule="auto"/>
        <w:ind w:firstLine="640" w:firstLineChars="200"/>
        <w:outlineLvl w:val="1"/>
        <w:rPr>
          <w:rFonts w:hint="default" w:ascii="方正楷体_GBK" w:hAnsi="方正楷体_GBK" w:eastAsia="方正楷体_GBK" w:cs="方正楷体_GBK"/>
          <w:b w:val="0"/>
          <w:bCs w:val="0"/>
          <w:color w:val="000000"/>
          <w:kern w:val="0"/>
          <w:sz w:val="32"/>
          <w:szCs w:val="32"/>
          <w:highlight w:val="none"/>
        </w:rPr>
      </w:pPr>
      <w:bookmarkStart w:id="4" w:name="_Toc22658"/>
      <w:bookmarkStart w:id="5" w:name="_Toc31734"/>
      <w:r>
        <w:rPr>
          <w:rFonts w:hint="default" w:ascii="方正楷体_GBK" w:hAnsi="方正楷体_GBK" w:eastAsia="方正楷体_GBK" w:cs="方正楷体_GBK"/>
          <w:b w:val="0"/>
          <w:bCs w:val="0"/>
          <w:color w:val="000000"/>
          <w:kern w:val="0"/>
          <w:sz w:val="32"/>
          <w:szCs w:val="32"/>
          <w:highlight w:val="none"/>
        </w:rPr>
        <w:t>（一）绩效评价目的、对象和范围</w:t>
      </w:r>
      <w:bookmarkEnd w:id="4"/>
      <w:bookmarkEnd w:id="5"/>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1.评价的目的</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通过运用科学、合理的绩效评价指标、评价标准和评价方法对北京大运河博物馆（首都博物馆东馆）运维费-开放秩序维护服务开展绩效评价，旨在全面掌握项目绩效目标实现程度、执行效果及存在的问题</w:t>
      </w:r>
      <w:r>
        <w:rPr>
          <w:rFonts w:hint="default" w:ascii="CESI仿宋-GB2312" w:hAnsi="CESI仿宋-GB2312" w:eastAsia="CESI仿宋-GB2312" w:cs="CESI仿宋-GB2312"/>
          <w:color w:val="000000"/>
          <w:kern w:val="0"/>
          <w:sz w:val="32"/>
          <w:szCs w:val="32"/>
          <w:highlight w:val="none"/>
          <w:lang w:eastAsia="zh-CN"/>
        </w:rPr>
        <w:t>，</w:t>
      </w:r>
      <w:r>
        <w:rPr>
          <w:rFonts w:hint="default" w:ascii="CESI仿宋-GB2312" w:hAnsi="CESI仿宋-GB2312" w:eastAsia="CESI仿宋-GB2312" w:cs="CESI仿宋-GB2312"/>
          <w:color w:val="000000"/>
          <w:kern w:val="0"/>
          <w:sz w:val="32"/>
          <w:szCs w:val="32"/>
          <w:highlight w:val="none"/>
        </w:rPr>
        <w:t>以进一步加强项目资金管理，提高财政资金使用效益。</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2.评价对象和范围</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本次主要是对“北京大运河博物馆（首都博物馆东馆）运维费-开放秩序维护服务”项目2024年度预算资金申报及使用情况开展绩效评价。</w:t>
      </w:r>
    </w:p>
    <w:p>
      <w:pPr>
        <w:adjustRightInd w:val="0"/>
        <w:snapToGrid w:val="0"/>
        <w:spacing w:line="360" w:lineRule="auto"/>
        <w:ind w:firstLine="640" w:firstLineChars="200"/>
        <w:outlineLvl w:val="1"/>
        <w:rPr>
          <w:rFonts w:hint="default" w:ascii="方正楷体_GBK" w:hAnsi="方正楷体_GBK" w:eastAsia="方正楷体_GBK" w:cs="方正楷体_GBK"/>
          <w:b w:val="0"/>
          <w:bCs w:val="0"/>
          <w:color w:val="000000"/>
          <w:kern w:val="0"/>
          <w:sz w:val="32"/>
          <w:szCs w:val="32"/>
          <w:highlight w:val="none"/>
        </w:rPr>
      </w:pPr>
      <w:bookmarkStart w:id="6" w:name="_Toc15481"/>
      <w:bookmarkStart w:id="7" w:name="_Toc15276"/>
      <w:r>
        <w:rPr>
          <w:rFonts w:hint="default" w:ascii="方正楷体_GBK" w:hAnsi="方正楷体_GBK" w:eastAsia="方正楷体_GBK" w:cs="方正楷体_GBK"/>
          <w:b w:val="0"/>
          <w:bCs w:val="0"/>
          <w:color w:val="000000"/>
          <w:kern w:val="0"/>
          <w:sz w:val="32"/>
          <w:szCs w:val="32"/>
          <w:highlight w:val="none"/>
        </w:rPr>
        <w:t>（二）绩效评价原则、评价指标体系、评价方法、评价标准</w:t>
      </w:r>
      <w:bookmarkEnd w:id="6"/>
      <w:bookmarkEnd w:id="7"/>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1.绩效评价原则</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(1)科学公正。绩效评价应当运用科学合理的方法，按照规范的程序，对项目绩效进行客观、公正的反映。</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(2)统筹兼顾。单位自评、部门评价和财政评价应职责明确，各有侧重，相互衔接。部门评价和财政评价应在单位自评的基础上开展，必要时可委托第三方机构实施。</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(3)激励约束。绩效评价结果应与预算安排、政策调整、改进管理实质性挂钩，体现奖优罚劣和激励相容导向，有效要安排、低效要压减、无效要问责。</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（4）公开透明。绩效评价结果应依法依规公开，并自觉接受社会监督。</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2.评价指标体系及评价标准</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评价工作组根据《北京市项目支出绩效评价管理办法》中的绩效评价体系框架，围绕项目决策、过程、产出和效益四个维度，结合项目实际情况进一步细化并制定了《北京大运河博物馆（首都博物馆东馆）运维费-开放秩序维护服务支出绩效评价指标体系》，并根据指标的重要性与相关性确定打分权重及评分标准。</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3.评价方法</w:t>
      </w:r>
    </w:p>
    <w:p>
      <w:pPr>
        <w:adjustRightInd w:val="0"/>
        <w:snapToGrid w:val="0"/>
        <w:spacing w:line="360" w:lineRule="auto"/>
        <w:ind w:firstLine="640" w:firstLineChars="200"/>
        <w:outlineLvl w:val="2"/>
        <w:rPr>
          <w:rFonts w:hint="default" w:ascii="Times New Roman" w:hAnsi="Times New Roman" w:eastAsia="仿宋_GB2312" w:cs="Times New Roman"/>
          <w:kern w:val="0"/>
          <w:sz w:val="32"/>
          <w:szCs w:val="32"/>
          <w:highlight w:val="none"/>
        </w:rPr>
      </w:pPr>
      <w:r>
        <w:rPr>
          <w:rFonts w:hint="default" w:ascii="CESI仿宋-GB2312" w:hAnsi="CESI仿宋-GB2312" w:eastAsia="CESI仿宋-GB2312" w:cs="CESI仿宋-GB2312"/>
          <w:color w:val="000000"/>
          <w:kern w:val="0"/>
          <w:sz w:val="32"/>
          <w:szCs w:val="32"/>
          <w:highlight w:val="none"/>
        </w:rPr>
        <w:t>结合北京大运河博物馆（首都博物馆东馆）运维费-开放秩序维护服务的特点，本次绩效评价工作主要采用了比较法和公众评判法，以确保评价结果的全面性和客观性</w:t>
      </w:r>
      <w:r>
        <w:rPr>
          <w:rFonts w:hint="default" w:ascii="Times New Roman" w:hAnsi="Times New Roman" w:eastAsia="仿宋_GB2312" w:cs="Times New Roman"/>
          <w:kern w:val="0"/>
          <w:sz w:val="32"/>
          <w:szCs w:val="32"/>
          <w:highlight w:val="none"/>
        </w:rPr>
        <w:t>。</w:t>
      </w:r>
    </w:p>
    <w:p>
      <w:pPr>
        <w:adjustRightInd w:val="0"/>
        <w:snapToGrid w:val="0"/>
        <w:spacing w:line="360" w:lineRule="auto"/>
        <w:ind w:firstLine="640" w:firstLineChars="200"/>
        <w:outlineLvl w:val="1"/>
        <w:rPr>
          <w:rFonts w:hint="default" w:ascii="方正楷体_GBK" w:hAnsi="方正楷体_GBK" w:eastAsia="方正楷体_GBK" w:cs="方正楷体_GBK"/>
          <w:b w:val="0"/>
          <w:bCs w:val="0"/>
          <w:color w:val="000000"/>
          <w:kern w:val="0"/>
          <w:sz w:val="32"/>
          <w:szCs w:val="32"/>
          <w:highlight w:val="none"/>
        </w:rPr>
      </w:pPr>
      <w:bookmarkStart w:id="8" w:name="_Toc7923"/>
      <w:bookmarkStart w:id="9" w:name="_Toc12702"/>
      <w:r>
        <w:rPr>
          <w:rFonts w:hint="default" w:ascii="方正楷体_GBK" w:hAnsi="方正楷体_GBK" w:eastAsia="方正楷体_GBK" w:cs="方正楷体_GBK"/>
          <w:b w:val="0"/>
          <w:bCs w:val="0"/>
          <w:color w:val="000000"/>
          <w:kern w:val="0"/>
          <w:sz w:val="32"/>
          <w:szCs w:val="32"/>
          <w:highlight w:val="none"/>
        </w:rPr>
        <w:t>（三）绩效评价工作过程</w:t>
      </w:r>
      <w:bookmarkEnd w:id="8"/>
      <w:bookmarkEnd w:id="9"/>
    </w:p>
    <w:p>
      <w:pPr>
        <w:adjustRightInd w:val="0"/>
        <w:snapToGrid w:val="0"/>
        <w:spacing w:line="360" w:lineRule="auto"/>
        <w:ind w:firstLine="640" w:firstLineChars="200"/>
        <w:outlineLvl w:val="9"/>
        <w:rPr>
          <w:rFonts w:hint="default" w:ascii="Times New Roman" w:hAnsi="Times New Roman" w:eastAsia="仿宋_GB2312" w:cs="Times New Roman"/>
          <w:kern w:val="0"/>
          <w:sz w:val="32"/>
          <w:szCs w:val="32"/>
          <w:highlight w:val="none"/>
        </w:rPr>
      </w:pPr>
      <w:bookmarkStart w:id="10" w:name="_Toc18875"/>
      <w:r>
        <w:rPr>
          <w:rFonts w:hint="default" w:ascii="Times New Roman" w:hAnsi="Times New Roman" w:eastAsia="仿宋_GB2312" w:cs="Times New Roman"/>
          <w:kern w:val="0"/>
          <w:sz w:val="32"/>
          <w:szCs w:val="32"/>
          <w:highlight w:val="none"/>
        </w:rPr>
        <w:t>在绩效评价工作启动后，首先成立了专门的评价工作组，全面负责组织实施本次绩效评价。工作组在充分了解项目背景、目标及管理情况的基础上，编制了具有可操作性的评价方案，明确评价重点、方法及进度安排，并协助被评价单位完成自评及相关绩效材料整理工作。随后进入现场核查阶段，通过查阅项目资料比对绩效目标完成情况，并综合社会效益、可持续影响和满意度等材料对项目效益实现程度进行评价。在专家评价环节，</w:t>
      </w:r>
      <w:r>
        <w:rPr>
          <w:rFonts w:hint="default" w:ascii="CESI仿宋-GB2312" w:hAnsi="CESI仿宋-GB2312" w:eastAsia="CESI仿宋-GB2312" w:cs="CESI仿宋-GB2312"/>
          <w:color w:val="000000"/>
          <w:kern w:val="0"/>
          <w:sz w:val="32"/>
          <w:szCs w:val="32"/>
          <w:highlight w:val="none"/>
        </w:rPr>
        <w:t>工作组系统整理并核验项目资料，形成专家手册，并组织由业务、管理及财务领域5名专家构成的评价组召开评审会，通过质询与讨论后依据指标</w:t>
      </w:r>
      <w:r>
        <w:rPr>
          <w:rFonts w:hint="default" w:ascii="Times New Roman" w:hAnsi="Times New Roman" w:eastAsia="仿宋_GB2312" w:cs="Times New Roman"/>
          <w:kern w:val="0"/>
          <w:sz w:val="32"/>
          <w:szCs w:val="32"/>
          <w:highlight w:val="none"/>
        </w:rPr>
        <w:t>体系独立打分并形成意见。最终，在评价报告阶段，工作组依据评价分析和专家意见确定绩效等级、撰写报告初稿，经与市文物局沟通反馈并修改完善后形成正式报告，按要求报送并归档所有绩效资料。</w:t>
      </w:r>
    </w:p>
    <w:p>
      <w:pPr>
        <w:adjustRightInd w:val="0"/>
        <w:snapToGrid w:val="0"/>
        <w:spacing w:line="360" w:lineRule="auto"/>
        <w:ind w:firstLine="640" w:firstLineChars="200"/>
        <w:outlineLvl w:val="0"/>
        <w:rPr>
          <w:rFonts w:hint="default" w:ascii="方正黑体_GBK" w:hAnsi="方正黑体_GBK" w:eastAsia="方正黑体_GBK" w:cs="方正黑体_GBK"/>
          <w:b w:val="0"/>
          <w:bCs w:val="0"/>
          <w:color w:val="000000"/>
          <w:kern w:val="0"/>
          <w:sz w:val="32"/>
          <w:szCs w:val="32"/>
          <w:highlight w:val="none"/>
        </w:rPr>
      </w:pPr>
      <w:r>
        <w:rPr>
          <w:rFonts w:hint="default" w:ascii="方正黑体_GBK" w:hAnsi="方正黑体_GBK" w:eastAsia="方正黑体_GBK" w:cs="方正黑体_GBK"/>
          <w:b w:val="0"/>
          <w:bCs w:val="0"/>
          <w:color w:val="000000"/>
          <w:kern w:val="0"/>
          <w:sz w:val="32"/>
          <w:szCs w:val="32"/>
          <w:highlight w:val="none"/>
        </w:rPr>
        <w:t>三、综合评价情况及评价结论</w:t>
      </w:r>
      <w:bookmarkEnd w:id="10"/>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lang w:eastAsia="zh-CN"/>
        </w:rPr>
      </w:pPr>
      <w:r>
        <w:rPr>
          <w:rFonts w:hint="default" w:ascii="CESI仿宋-GB2312" w:hAnsi="CESI仿宋-GB2312" w:eastAsia="CESI仿宋-GB2312" w:cs="CESI仿宋-GB2312"/>
          <w:color w:val="000000"/>
          <w:kern w:val="0"/>
          <w:sz w:val="32"/>
          <w:szCs w:val="32"/>
          <w:highlight w:val="none"/>
          <w:lang w:eastAsia="zh-CN"/>
        </w:rPr>
        <w:t>经综合评价，该项目评价得分</w:t>
      </w:r>
      <w:r>
        <w:rPr>
          <w:rFonts w:hint="default" w:ascii="CESI仿宋-GB2312" w:hAnsi="CESI仿宋-GB2312" w:eastAsia="CESI仿宋-GB2312" w:cs="CESI仿宋-GB2312"/>
          <w:color w:val="000000"/>
          <w:kern w:val="0"/>
          <w:sz w:val="32"/>
          <w:szCs w:val="32"/>
          <w:highlight w:val="none"/>
          <w:lang w:val="en-US" w:eastAsia="zh-CN"/>
        </w:rPr>
        <w:t>81.16</w:t>
      </w:r>
      <w:r>
        <w:rPr>
          <w:rFonts w:hint="default" w:ascii="CESI仿宋-GB2312" w:hAnsi="CESI仿宋-GB2312" w:eastAsia="CESI仿宋-GB2312" w:cs="CESI仿宋-GB2312"/>
          <w:color w:val="000000"/>
          <w:kern w:val="0"/>
          <w:sz w:val="32"/>
          <w:szCs w:val="32"/>
          <w:highlight w:val="none"/>
          <w:lang w:eastAsia="zh-CN"/>
        </w:rPr>
        <w:t>分，绩效级别评定为“良”。该项目作为保障北京大运河博物馆顺利开馆运营的首年度基础性服务项目，全面完成了开放秩序维护的核心任务，有效保障了年接待260万人次观众的安全与秩序，整体实施效果良好。评价结果反映了项目在首年运行中持续改进、不断优化的发展过程。</w:t>
      </w:r>
    </w:p>
    <w:p>
      <w:pPr>
        <w:adjustRightInd w:val="0"/>
        <w:snapToGrid w:val="0"/>
        <w:spacing w:line="360" w:lineRule="auto"/>
        <w:ind w:firstLine="640" w:firstLineChars="200"/>
        <w:outlineLvl w:val="0"/>
        <w:rPr>
          <w:rFonts w:hint="default" w:ascii="方正黑体_GBK" w:hAnsi="方正黑体_GBK" w:eastAsia="方正黑体_GBK" w:cs="方正黑体_GBK"/>
          <w:b w:val="0"/>
          <w:bCs w:val="0"/>
          <w:color w:val="000000"/>
          <w:kern w:val="0"/>
          <w:sz w:val="32"/>
          <w:szCs w:val="32"/>
          <w:highlight w:val="none"/>
        </w:rPr>
      </w:pPr>
      <w:bookmarkStart w:id="11" w:name="_Toc2044"/>
      <w:r>
        <w:rPr>
          <w:rFonts w:hint="default" w:ascii="方正黑体_GBK" w:hAnsi="方正黑体_GBK" w:eastAsia="方正黑体_GBK" w:cs="方正黑体_GBK"/>
          <w:b w:val="0"/>
          <w:bCs w:val="0"/>
          <w:color w:val="000000"/>
          <w:kern w:val="0"/>
          <w:sz w:val="32"/>
          <w:szCs w:val="32"/>
          <w:highlight w:val="none"/>
        </w:rPr>
        <w:t>四、绩效评价指标分析</w:t>
      </w:r>
      <w:bookmarkEnd w:id="11"/>
    </w:p>
    <w:p>
      <w:pPr>
        <w:adjustRightInd w:val="0"/>
        <w:snapToGrid w:val="0"/>
        <w:spacing w:line="360" w:lineRule="auto"/>
        <w:ind w:firstLine="640" w:firstLineChars="200"/>
        <w:outlineLvl w:val="1"/>
        <w:rPr>
          <w:rFonts w:hint="default" w:ascii="方正楷体_GBK" w:hAnsi="方正楷体_GBK" w:eastAsia="方正楷体_GBK" w:cs="方正楷体_GBK"/>
          <w:b w:val="0"/>
          <w:bCs w:val="0"/>
          <w:color w:val="000000"/>
          <w:kern w:val="0"/>
          <w:sz w:val="32"/>
          <w:szCs w:val="32"/>
          <w:highlight w:val="none"/>
        </w:rPr>
      </w:pPr>
      <w:bookmarkStart w:id="12" w:name="_Toc7197"/>
      <w:r>
        <w:rPr>
          <w:rFonts w:hint="default" w:ascii="方正楷体_GBK" w:hAnsi="方正楷体_GBK" w:eastAsia="方正楷体_GBK" w:cs="方正楷体_GBK"/>
          <w:b w:val="0"/>
          <w:bCs w:val="0"/>
          <w:color w:val="000000"/>
          <w:kern w:val="0"/>
          <w:sz w:val="32"/>
          <w:szCs w:val="32"/>
          <w:highlight w:val="none"/>
        </w:rPr>
        <w:t>（一）项目决策情况</w:t>
      </w:r>
      <w:bookmarkEnd w:id="12"/>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1.项目立项情况分析</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lang w:eastAsia="zh-CN"/>
        </w:rPr>
      </w:pPr>
      <w:r>
        <w:rPr>
          <w:rFonts w:hint="default" w:ascii="CESI仿宋-GB2312" w:hAnsi="CESI仿宋-GB2312" w:eastAsia="CESI仿宋-GB2312" w:cs="CESI仿宋-GB2312"/>
          <w:color w:val="000000"/>
          <w:kern w:val="0"/>
          <w:sz w:val="32"/>
          <w:szCs w:val="32"/>
          <w:highlight w:val="none"/>
          <w:lang w:eastAsia="zh-CN"/>
        </w:rPr>
        <w:t>北京大运河博物馆（首都博物馆东馆）是北京城市副中心建设配套工程，是确保博物馆运营、保障观众服务的重要支撑。根据中共北京市委机构编制委员会办公室批复，同意设立该馆为首都博物馆正处级内设机构，负责运营管理，首都博物馆作为申报及实施单位，与其职能相关。根据北京市财政局要求，首都博物馆将该项目预算纳入部门整体预算编报。依据北京市财政局规定，首都博物馆于2024年初申报项目总预算的50%，年中追加剩余50%，该项目预算经北京市文物局同意后报北京市财政局并获批复</w:t>
      </w:r>
      <w:r>
        <w:rPr>
          <w:rFonts w:hint="eastAsia" w:ascii="CESI仿宋-GB2312" w:hAnsi="CESI仿宋-GB2312" w:eastAsia="CESI仿宋-GB2312" w:cs="CESI仿宋-GB2312"/>
          <w:color w:val="000000"/>
          <w:kern w:val="0"/>
          <w:sz w:val="32"/>
          <w:szCs w:val="32"/>
          <w:highlight w:val="none"/>
          <w:lang w:eastAsia="zh-CN"/>
        </w:rPr>
        <w:t>，</w:t>
      </w:r>
      <w:r>
        <w:rPr>
          <w:rFonts w:hint="default" w:ascii="CESI仿宋-GB2312" w:hAnsi="CESI仿宋-GB2312" w:eastAsia="CESI仿宋-GB2312" w:cs="CESI仿宋-GB2312"/>
          <w:color w:val="000000"/>
          <w:kern w:val="0"/>
          <w:sz w:val="32"/>
          <w:szCs w:val="32"/>
          <w:highlight w:val="none"/>
          <w:lang w:eastAsia="zh-CN"/>
        </w:rPr>
        <w:t xml:space="preserve">该项目立项依据充分、程序规范。 </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2.项目绩效目标设定情况分析</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该项目主要是通过委托外包的形式聘用一线服务人员，以保证东馆的正常开放运营。围绕该项目的内容、进度和预期效益，项目设定了绩效目标，并将其细化为具体的产出、成本、效益及满意度指标。绩效目标表中的各项指标</w:t>
      </w:r>
      <w:r>
        <w:rPr>
          <w:rFonts w:hint="eastAsia" w:ascii="CESI仿宋-GB2312" w:hAnsi="CESI仿宋-GB2312" w:eastAsia="CESI仿宋-GB2312" w:cs="CESI仿宋-GB2312"/>
          <w:color w:val="000000"/>
          <w:kern w:val="0"/>
          <w:sz w:val="32"/>
          <w:szCs w:val="32"/>
          <w:highlight w:val="none"/>
          <w:lang w:eastAsia="zh-CN"/>
        </w:rPr>
        <w:t>设置</w:t>
      </w:r>
      <w:r>
        <w:rPr>
          <w:rFonts w:hint="default" w:ascii="CESI仿宋-GB2312" w:hAnsi="CESI仿宋-GB2312" w:eastAsia="CESI仿宋-GB2312" w:cs="CESI仿宋-GB2312"/>
          <w:color w:val="000000"/>
          <w:kern w:val="0"/>
          <w:sz w:val="32"/>
          <w:szCs w:val="32"/>
          <w:highlight w:val="none"/>
        </w:rPr>
        <w:t>较为简单，未能突出该项目作为北京大运河博物馆（首都博物馆东馆）保证东馆正常开放运营的核心内容</w:t>
      </w:r>
      <w:r>
        <w:rPr>
          <w:rFonts w:hint="eastAsia" w:ascii="CESI仿宋-GB2312" w:hAnsi="CESI仿宋-GB2312" w:eastAsia="CESI仿宋-GB2312" w:cs="CESI仿宋-GB2312"/>
          <w:color w:val="000000"/>
          <w:kern w:val="0"/>
          <w:sz w:val="32"/>
          <w:szCs w:val="32"/>
          <w:highlight w:val="none"/>
          <w:lang w:eastAsia="zh-CN"/>
        </w:rPr>
        <w:t>，</w:t>
      </w:r>
      <w:r>
        <w:rPr>
          <w:rFonts w:hint="default" w:ascii="CESI仿宋-GB2312" w:hAnsi="CESI仿宋-GB2312" w:eastAsia="CESI仿宋-GB2312" w:cs="CESI仿宋-GB2312"/>
          <w:color w:val="000000"/>
          <w:kern w:val="0"/>
          <w:sz w:val="32"/>
          <w:szCs w:val="32"/>
          <w:highlight w:val="none"/>
          <w:lang w:eastAsia="zh-Hans"/>
        </w:rPr>
        <w:t>绩效目标</w:t>
      </w:r>
      <w:r>
        <w:rPr>
          <w:rFonts w:hint="default" w:ascii="CESI仿宋-GB2312" w:hAnsi="CESI仿宋-GB2312" w:eastAsia="CESI仿宋-GB2312" w:cs="CESI仿宋-GB2312"/>
          <w:color w:val="000000"/>
          <w:kern w:val="0"/>
          <w:sz w:val="32"/>
          <w:szCs w:val="32"/>
          <w:highlight w:val="none"/>
        </w:rPr>
        <w:t>设置质量有待提升。</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3.资金投入情况分析</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该项目预算编制主要依据北京市财政局财政预算评审报告《关于北京大运河博物馆（首都博物馆东馆）运维费项目预算的评审报告》审定的社会化用工服务人员数量、费用标准进行，预算标准依据充分</w:t>
      </w:r>
      <w:r>
        <w:rPr>
          <w:rFonts w:hint="eastAsia" w:ascii="CESI仿宋-GB2312" w:hAnsi="CESI仿宋-GB2312" w:eastAsia="CESI仿宋-GB2312" w:cs="CESI仿宋-GB2312"/>
          <w:color w:val="000000"/>
          <w:kern w:val="0"/>
          <w:sz w:val="32"/>
          <w:szCs w:val="32"/>
          <w:highlight w:val="none"/>
          <w:lang w:eastAsia="zh-CN"/>
        </w:rPr>
        <w:t>。</w:t>
      </w:r>
      <w:r>
        <w:rPr>
          <w:rFonts w:hint="default" w:ascii="CESI仿宋-GB2312" w:hAnsi="CESI仿宋-GB2312" w:eastAsia="CESI仿宋-GB2312" w:cs="CESI仿宋-GB2312"/>
          <w:color w:val="000000"/>
          <w:kern w:val="0"/>
          <w:sz w:val="32"/>
          <w:szCs w:val="32"/>
          <w:highlight w:val="none"/>
          <w:lang w:val="en-US" w:eastAsia="zh-CN"/>
        </w:rPr>
        <w:t>对于跨年实施项目，应综合考虑上一年度实际执行情况，以保证预算编制的准确性</w:t>
      </w:r>
      <w:r>
        <w:rPr>
          <w:rFonts w:hint="default" w:ascii="CESI仿宋-GB2312" w:hAnsi="CESI仿宋-GB2312" w:eastAsia="CESI仿宋-GB2312" w:cs="CESI仿宋-GB2312"/>
          <w:color w:val="000000"/>
          <w:kern w:val="0"/>
          <w:sz w:val="32"/>
          <w:szCs w:val="32"/>
          <w:highlight w:val="none"/>
          <w:lang w:eastAsia="zh-CN"/>
        </w:rPr>
        <w:t>。</w:t>
      </w:r>
    </w:p>
    <w:p>
      <w:pPr>
        <w:adjustRightInd w:val="0"/>
        <w:snapToGrid w:val="0"/>
        <w:spacing w:line="360" w:lineRule="auto"/>
        <w:ind w:firstLine="640" w:firstLineChars="200"/>
        <w:outlineLvl w:val="1"/>
        <w:rPr>
          <w:rFonts w:hint="default" w:ascii="方正楷体_GBK" w:hAnsi="方正楷体_GBK" w:eastAsia="方正楷体_GBK" w:cs="方正楷体_GBK"/>
          <w:b w:val="0"/>
          <w:bCs w:val="0"/>
          <w:color w:val="000000"/>
          <w:kern w:val="0"/>
          <w:sz w:val="32"/>
          <w:szCs w:val="32"/>
          <w:highlight w:val="none"/>
        </w:rPr>
      </w:pPr>
      <w:bookmarkStart w:id="13" w:name="_Toc2812"/>
      <w:r>
        <w:rPr>
          <w:rFonts w:hint="default" w:ascii="方正楷体_GBK" w:hAnsi="方正楷体_GBK" w:eastAsia="方正楷体_GBK" w:cs="方正楷体_GBK"/>
          <w:b w:val="0"/>
          <w:bCs w:val="0"/>
          <w:color w:val="000000"/>
          <w:kern w:val="0"/>
          <w:sz w:val="32"/>
          <w:szCs w:val="32"/>
          <w:highlight w:val="none"/>
        </w:rPr>
        <w:t>（二）项目过程情况</w:t>
      </w:r>
      <w:bookmarkEnd w:id="13"/>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1.资金管理情况分析</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lang w:val="en-US" w:eastAsia="zh-CN"/>
        </w:rPr>
      </w:pPr>
      <w:r>
        <w:rPr>
          <w:rFonts w:hint="default" w:ascii="CESI仿宋-GB2312" w:hAnsi="CESI仿宋-GB2312" w:eastAsia="CESI仿宋-GB2312" w:cs="CESI仿宋-GB2312"/>
          <w:color w:val="000000"/>
          <w:kern w:val="0"/>
          <w:sz w:val="32"/>
          <w:szCs w:val="32"/>
          <w:highlight w:val="none"/>
        </w:rPr>
        <w:t>该项目2024年批复预算1939.911924万元，实际到位资金1939.911924万元，资金到位率100%。截至2024年12月31日实际支出资金1939.911924万元，预算执行率100%。为保障项目的顺利实施，强化项目资金管理，首都博物馆制定了完善的内部控制制度体系，结合项目实际情况，资金管理</w:t>
      </w:r>
      <w:r>
        <w:rPr>
          <w:rFonts w:hint="eastAsia" w:ascii="CESI仿宋-GB2312" w:hAnsi="CESI仿宋-GB2312" w:eastAsia="CESI仿宋-GB2312" w:cs="CESI仿宋-GB2312"/>
          <w:color w:val="000000"/>
          <w:kern w:val="0"/>
          <w:sz w:val="32"/>
          <w:szCs w:val="32"/>
          <w:highlight w:val="none"/>
          <w:lang w:eastAsia="zh-CN"/>
        </w:rPr>
        <w:t>尚需加强</w:t>
      </w:r>
      <w:r>
        <w:rPr>
          <w:rFonts w:hint="default" w:ascii="CESI仿宋-GB2312" w:hAnsi="CESI仿宋-GB2312" w:eastAsia="CESI仿宋-GB2312" w:cs="CESI仿宋-GB2312"/>
          <w:color w:val="000000"/>
          <w:kern w:val="0"/>
          <w:sz w:val="32"/>
          <w:szCs w:val="32"/>
          <w:highlight w:val="none"/>
        </w:rPr>
        <w:t>，</w:t>
      </w:r>
      <w:r>
        <w:rPr>
          <w:rFonts w:hint="default" w:ascii="CESI仿宋-GB2312" w:hAnsi="CESI仿宋-GB2312" w:eastAsia="CESI仿宋-GB2312" w:cs="CESI仿宋-GB2312"/>
          <w:color w:val="000000"/>
          <w:kern w:val="0"/>
          <w:sz w:val="32"/>
          <w:szCs w:val="32"/>
          <w:highlight w:val="none"/>
          <w:lang w:val="en-US" w:eastAsia="zh-CN"/>
        </w:rPr>
        <w:t>一是</w:t>
      </w:r>
      <w:r>
        <w:rPr>
          <w:rFonts w:hint="eastAsia" w:ascii="CESI仿宋-GB2312" w:hAnsi="CESI仿宋-GB2312" w:eastAsia="CESI仿宋-GB2312" w:cs="CESI仿宋-GB2312"/>
          <w:color w:val="000000"/>
          <w:kern w:val="0"/>
          <w:sz w:val="32"/>
          <w:szCs w:val="32"/>
          <w:highlight w:val="none"/>
          <w:lang w:val="en-US" w:eastAsia="zh-CN"/>
        </w:rPr>
        <w:t>乙方</w:t>
      </w:r>
      <w:r>
        <w:rPr>
          <w:rFonts w:hint="default" w:ascii="CESI仿宋-GB2312" w:hAnsi="CESI仿宋-GB2312" w:eastAsia="CESI仿宋-GB2312" w:cs="CESI仿宋-GB2312"/>
          <w:color w:val="000000"/>
          <w:kern w:val="0"/>
          <w:sz w:val="32"/>
          <w:szCs w:val="32"/>
          <w:highlight w:val="none"/>
        </w:rPr>
        <w:t>未按照合同约定及时交付履约保证金</w:t>
      </w:r>
      <w:r>
        <w:rPr>
          <w:rFonts w:hint="eastAsia" w:ascii="CESI仿宋-GB2312" w:hAnsi="CESI仿宋-GB2312" w:eastAsia="CESI仿宋-GB2312" w:cs="CESI仿宋-GB2312"/>
          <w:color w:val="000000"/>
          <w:kern w:val="0"/>
          <w:sz w:val="32"/>
          <w:szCs w:val="32"/>
          <w:highlight w:val="none"/>
          <w:lang w:eastAsia="zh-CN"/>
        </w:rPr>
        <w:t>，</w:t>
      </w:r>
      <w:r>
        <w:rPr>
          <w:rFonts w:hint="default" w:ascii="CESI仿宋-GB2312" w:hAnsi="CESI仿宋-GB2312" w:eastAsia="CESI仿宋-GB2312" w:cs="CESI仿宋-GB2312"/>
          <w:color w:val="000000"/>
          <w:kern w:val="0"/>
          <w:sz w:val="32"/>
          <w:szCs w:val="32"/>
          <w:highlight w:val="none"/>
          <w:lang w:val="en-US" w:eastAsia="zh-CN"/>
        </w:rPr>
        <w:t>二是项目结算不够规范。</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2.组织实施情况</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（1）项目组织实施情况</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该项目于2023年作为“北京大运河博物馆（首都博物馆东馆）运维费”项目的子项目立项，服务周期为2023年9月至12月。为确保工作的连贯有序，首都博物馆于2023年7月申请了涵盖2023年9月至2024年12月期间</w:t>
      </w:r>
      <w:r>
        <w:rPr>
          <w:rFonts w:hint="eastAsia" w:ascii="CESI仿宋-GB2312" w:hAnsi="CESI仿宋-GB2312" w:eastAsia="CESI仿宋-GB2312" w:cs="CESI仿宋-GB2312"/>
          <w:color w:val="000000"/>
          <w:kern w:val="0"/>
          <w:sz w:val="32"/>
          <w:szCs w:val="32"/>
          <w:highlight w:val="none"/>
          <w:lang w:val="en-US" w:eastAsia="zh-CN"/>
        </w:rPr>
        <w:t>服务的资金来源证明</w:t>
      </w:r>
      <w:r>
        <w:rPr>
          <w:rFonts w:hint="eastAsia" w:ascii="CESI仿宋-GB2312" w:hAnsi="CESI仿宋-GB2312" w:eastAsia="CESI仿宋-GB2312" w:cs="CESI仿宋-GB2312"/>
          <w:color w:val="000000"/>
          <w:kern w:val="0"/>
          <w:sz w:val="32"/>
          <w:szCs w:val="32"/>
          <w:highlight w:val="none"/>
          <w:lang w:eastAsia="zh-CN"/>
        </w:rPr>
        <w:t>。</w:t>
      </w:r>
      <w:r>
        <w:rPr>
          <w:rFonts w:hint="default" w:ascii="CESI仿宋-GB2312" w:hAnsi="CESI仿宋-GB2312" w:eastAsia="CESI仿宋-GB2312" w:cs="CESI仿宋-GB2312"/>
          <w:color w:val="000000"/>
          <w:kern w:val="0"/>
          <w:sz w:val="32"/>
          <w:szCs w:val="32"/>
          <w:highlight w:val="none"/>
        </w:rPr>
        <w:t>2023年8月，该项目通过公开招标采购</w:t>
      </w:r>
      <w:r>
        <w:rPr>
          <w:rFonts w:hint="eastAsia" w:ascii="CESI仿宋-GB2312" w:hAnsi="CESI仿宋-GB2312" w:eastAsia="CESI仿宋-GB2312" w:cs="CESI仿宋-GB2312"/>
          <w:color w:val="000000"/>
          <w:kern w:val="0"/>
          <w:sz w:val="32"/>
          <w:szCs w:val="32"/>
          <w:highlight w:val="none"/>
          <w:lang w:val="en-US" w:eastAsia="zh-CN"/>
        </w:rPr>
        <w:t>确定服务单位</w:t>
      </w:r>
      <w:r>
        <w:rPr>
          <w:rFonts w:hint="default" w:ascii="CESI仿宋-GB2312" w:hAnsi="CESI仿宋-GB2312" w:eastAsia="CESI仿宋-GB2312" w:cs="CESI仿宋-GB2312"/>
          <w:color w:val="000000"/>
          <w:kern w:val="0"/>
          <w:sz w:val="32"/>
          <w:szCs w:val="32"/>
          <w:highlight w:val="none"/>
        </w:rPr>
        <w:t>，服务期为2023年10月至2024年12月。</w:t>
      </w:r>
      <w:r>
        <w:rPr>
          <w:rFonts w:hint="eastAsia" w:ascii="CESI仿宋-GB2312" w:hAnsi="CESI仿宋-GB2312" w:eastAsia="CESI仿宋-GB2312" w:cs="CESI仿宋-GB2312"/>
          <w:color w:val="000000"/>
          <w:kern w:val="0"/>
          <w:sz w:val="32"/>
          <w:szCs w:val="32"/>
          <w:highlight w:val="none"/>
          <w:lang w:val="en-US" w:eastAsia="zh-CN"/>
        </w:rPr>
        <w:t>项目资金</w:t>
      </w:r>
      <w:r>
        <w:rPr>
          <w:rFonts w:hint="default" w:ascii="CESI仿宋-GB2312" w:hAnsi="CESI仿宋-GB2312" w:eastAsia="CESI仿宋-GB2312" w:cs="CESI仿宋-GB2312"/>
          <w:color w:val="000000"/>
          <w:kern w:val="0"/>
          <w:sz w:val="32"/>
          <w:szCs w:val="32"/>
          <w:highlight w:val="none"/>
        </w:rPr>
        <w:t>支付均履行党组会审议程序，严格按合同约定执行。</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（2）项目组织管理存在的问题</w:t>
      </w:r>
    </w:p>
    <w:p>
      <w:pPr>
        <w:adjustRightInd w:val="0"/>
        <w:snapToGrid w:val="0"/>
        <w:spacing w:line="360" w:lineRule="auto"/>
        <w:ind w:firstLine="640" w:firstLineChars="200"/>
        <w:outlineLvl w:val="2"/>
        <w:rPr>
          <w:rFonts w:hint="eastAsia" w:ascii="CESI仿宋-GB2312" w:hAnsi="CESI仿宋-GB2312" w:eastAsia="CESI仿宋-GB2312" w:cs="CESI仿宋-GB2312"/>
          <w:color w:val="000000"/>
          <w:kern w:val="0"/>
          <w:sz w:val="32"/>
          <w:szCs w:val="32"/>
          <w:highlight w:val="none"/>
          <w:lang w:eastAsia="zh-CN"/>
        </w:rPr>
      </w:pPr>
      <w:r>
        <w:rPr>
          <w:rFonts w:hint="default" w:ascii="CESI仿宋-GB2312" w:hAnsi="CESI仿宋-GB2312" w:eastAsia="CESI仿宋-GB2312" w:cs="CESI仿宋-GB2312"/>
          <w:color w:val="000000"/>
          <w:kern w:val="0"/>
          <w:sz w:val="32"/>
          <w:szCs w:val="32"/>
          <w:highlight w:val="none"/>
          <w:lang w:val="en-US" w:eastAsia="zh-CN"/>
        </w:rPr>
        <w:t>评价发现，该</w:t>
      </w:r>
      <w:r>
        <w:rPr>
          <w:rFonts w:hint="default" w:ascii="CESI仿宋-GB2312" w:hAnsi="CESI仿宋-GB2312" w:eastAsia="CESI仿宋-GB2312" w:cs="CESI仿宋-GB2312"/>
          <w:color w:val="000000"/>
          <w:kern w:val="0"/>
          <w:sz w:val="32"/>
          <w:szCs w:val="32"/>
          <w:highlight w:val="none"/>
        </w:rPr>
        <w:t>项目在项目组织管理方面，存在以下可优化之处：一是项目实施方案的完整性有待提升；二是合同公告的及时性需进一步加强；三是合同签订的规范性可进一步完善；四是项目过程监管的落实情况可进一步强化</w:t>
      </w:r>
      <w:r>
        <w:rPr>
          <w:rFonts w:hint="eastAsia" w:ascii="CESI仿宋-GB2312" w:hAnsi="CESI仿宋-GB2312" w:eastAsia="CESI仿宋-GB2312" w:cs="CESI仿宋-GB2312"/>
          <w:color w:val="000000"/>
          <w:kern w:val="0"/>
          <w:sz w:val="32"/>
          <w:szCs w:val="32"/>
          <w:highlight w:val="none"/>
          <w:lang w:eastAsia="zh-CN"/>
        </w:rPr>
        <w:t>。</w:t>
      </w:r>
    </w:p>
    <w:p>
      <w:pPr>
        <w:adjustRightInd w:val="0"/>
        <w:snapToGrid w:val="0"/>
        <w:spacing w:line="360" w:lineRule="auto"/>
        <w:ind w:firstLine="640" w:firstLineChars="200"/>
        <w:outlineLvl w:val="1"/>
        <w:rPr>
          <w:rFonts w:hint="default" w:ascii="方正楷体_GBK" w:hAnsi="方正楷体_GBK" w:eastAsia="方正楷体_GBK" w:cs="方正楷体_GBK"/>
          <w:b w:val="0"/>
          <w:bCs w:val="0"/>
          <w:color w:val="000000"/>
          <w:kern w:val="0"/>
          <w:sz w:val="32"/>
          <w:szCs w:val="32"/>
          <w:highlight w:val="none"/>
        </w:rPr>
      </w:pPr>
      <w:bookmarkStart w:id="14" w:name="_Toc13517"/>
      <w:r>
        <w:rPr>
          <w:rFonts w:hint="default" w:ascii="方正楷体_GBK" w:hAnsi="方正楷体_GBK" w:eastAsia="方正楷体_GBK" w:cs="方正楷体_GBK"/>
          <w:b w:val="0"/>
          <w:bCs w:val="0"/>
          <w:color w:val="000000"/>
          <w:kern w:val="0"/>
          <w:sz w:val="32"/>
          <w:szCs w:val="32"/>
          <w:highlight w:val="none"/>
        </w:rPr>
        <w:t>（三）项目产出情况</w:t>
      </w:r>
      <w:bookmarkEnd w:id="14"/>
    </w:p>
    <w:p>
      <w:pPr>
        <w:pStyle w:val="10"/>
        <w:adjustRightInd w:val="0"/>
        <w:snapToGrid w:val="0"/>
        <w:spacing w:line="360" w:lineRule="auto"/>
        <w:ind w:firstLine="640"/>
        <w:outlineLvl w:val="2"/>
        <w:rPr>
          <w:rFonts w:hint="default" w:ascii="CESI仿宋-GB2312" w:hAnsi="CESI仿宋-GB2312" w:eastAsia="CESI仿宋-GB2312" w:cs="CESI仿宋-GB2312"/>
          <w:color w:val="000000"/>
          <w:kern w:val="0"/>
          <w:sz w:val="32"/>
          <w:szCs w:val="32"/>
          <w:highlight w:val="none"/>
          <w:lang w:val="en-US" w:eastAsia="zh-CN" w:bidi="ar-SA"/>
        </w:rPr>
      </w:pPr>
      <w:r>
        <w:rPr>
          <w:rFonts w:hint="default" w:ascii="CESI仿宋-GB2312" w:hAnsi="CESI仿宋-GB2312" w:eastAsia="CESI仿宋-GB2312" w:cs="CESI仿宋-GB2312"/>
          <w:color w:val="000000"/>
          <w:kern w:val="0"/>
          <w:sz w:val="32"/>
          <w:szCs w:val="32"/>
          <w:highlight w:val="none"/>
          <w:lang w:val="en-US" w:eastAsia="zh-CN" w:bidi="ar-SA"/>
        </w:rPr>
        <w:t>1.产出数量完成情况分析</w:t>
      </w:r>
    </w:p>
    <w:p>
      <w:pPr>
        <w:pStyle w:val="10"/>
        <w:adjustRightInd w:val="0"/>
        <w:snapToGrid w:val="0"/>
        <w:spacing w:line="360" w:lineRule="auto"/>
        <w:ind w:firstLine="643"/>
        <w:rPr>
          <w:rFonts w:hint="default" w:ascii="CESI仿宋-GB2312" w:hAnsi="CESI仿宋-GB2312" w:eastAsia="CESI仿宋-GB2312" w:cs="CESI仿宋-GB2312"/>
          <w:color w:val="000000"/>
          <w:kern w:val="0"/>
          <w:sz w:val="32"/>
          <w:szCs w:val="32"/>
          <w:highlight w:val="none"/>
          <w:lang w:val="en-US" w:eastAsia="zh-CN" w:bidi="ar-SA"/>
        </w:rPr>
      </w:pPr>
      <w:r>
        <w:rPr>
          <w:rFonts w:hint="default" w:ascii="CESI仿宋-GB2312" w:hAnsi="CESI仿宋-GB2312" w:eastAsia="CESI仿宋-GB2312" w:cs="CESI仿宋-GB2312"/>
          <w:color w:val="000000"/>
          <w:kern w:val="0"/>
          <w:sz w:val="32"/>
          <w:szCs w:val="32"/>
          <w:highlight w:val="none"/>
          <w:lang w:val="en-US" w:eastAsia="zh-CN" w:bidi="ar-SA"/>
        </w:rPr>
        <w:t>该项目设定的数量指标为招募服务人员数量201人，涵盖一般管理人员、开放秩序专项人员及传达室人员等岗位社会化用工人员。实际执行中，2024年各岗位需求的201人进场服务，满足了东馆正式开馆对人员的基本需求，为开馆运营提供了充足的人力保障。在开馆首年客流远超预期（达260万人次）的背景下，项目在应对瞬时大客流的弹性人员调配机制和精细化成本核算方面积累了宝贵经验。未来将通过强化考勤与支付联动等措施，进一步提升管理效能。</w:t>
      </w:r>
    </w:p>
    <w:p>
      <w:pPr>
        <w:pStyle w:val="10"/>
        <w:adjustRightInd w:val="0"/>
        <w:snapToGrid w:val="0"/>
        <w:spacing w:line="360" w:lineRule="auto"/>
        <w:ind w:firstLine="640"/>
        <w:outlineLvl w:val="2"/>
        <w:rPr>
          <w:rFonts w:hint="default" w:ascii="CESI仿宋-GB2312" w:hAnsi="CESI仿宋-GB2312" w:eastAsia="CESI仿宋-GB2312" w:cs="CESI仿宋-GB2312"/>
          <w:color w:val="000000"/>
          <w:kern w:val="0"/>
          <w:sz w:val="32"/>
          <w:szCs w:val="32"/>
          <w:highlight w:val="none"/>
          <w:lang w:val="en-US" w:eastAsia="zh-CN" w:bidi="ar-SA"/>
        </w:rPr>
      </w:pPr>
      <w:r>
        <w:rPr>
          <w:rFonts w:hint="default" w:ascii="CESI仿宋-GB2312" w:hAnsi="CESI仿宋-GB2312" w:eastAsia="CESI仿宋-GB2312" w:cs="CESI仿宋-GB2312"/>
          <w:color w:val="000000"/>
          <w:kern w:val="0"/>
          <w:sz w:val="32"/>
          <w:szCs w:val="32"/>
          <w:highlight w:val="none"/>
          <w:lang w:val="en-US" w:eastAsia="zh-CN" w:bidi="ar-SA"/>
        </w:rPr>
        <w:t>2.产出质量达标情况分析</w:t>
      </w:r>
    </w:p>
    <w:p>
      <w:pPr>
        <w:pStyle w:val="10"/>
        <w:adjustRightInd w:val="0"/>
        <w:snapToGrid w:val="0"/>
        <w:spacing w:line="360" w:lineRule="auto"/>
        <w:ind w:firstLine="643"/>
        <w:rPr>
          <w:rFonts w:hint="default" w:ascii="CESI仿宋-GB2312" w:hAnsi="CESI仿宋-GB2312" w:eastAsia="CESI仿宋-GB2312" w:cs="CESI仿宋-GB2312"/>
          <w:color w:val="000000"/>
          <w:kern w:val="0"/>
          <w:sz w:val="32"/>
          <w:szCs w:val="32"/>
          <w:highlight w:val="none"/>
          <w:lang w:val="en-US" w:eastAsia="zh-CN" w:bidi="ar-SA"/>
        </w:rPr>
      </w:pPr>
      <w:r>
        <w:rPr>
          <w:rFonts w:hint="default" w:ascii="CESI仿宋-GB2312" w:hAnsi="CESI仿宋-GB2312" w:eastAsia="CESI仿宋-GB2312" w:cs="CESI仿宋-GB2312"/>
          <w:color w:val="000000"/>
          <w:kern w:val="0"/>
          <w:sz w:val="32"/>
          <w:szCs w:val="32"/>
          <w:highlight w:val="none"/>
          <w:lang w:val="en-US" w:eastAsia="zh-CN" w:bidi="ar-SA"/>
        </w:rPr>
        <w:t>该项目质量指标为东馆服务商指派的201名人员进行培训，培训内容包括首博规章制度、岗位服务礼仪、观众沟通技巧、消防设备使用等全方位内容。从实际效果看，观众满意度调查显示东馆整体满意度达92.84%，咨询服务、寄存服务等单项满意度高达97%以上，馆内还收到25封感谢信和2面奖旗。这些数据表明服务人员经过培训考核后，能够为观众提供高质量服务。</w:t>
      </w:r>
      <w:r>
        <w:rPr>
          <w:rFonts w:hint="eastAsia" w:ascii="CESI仿宋-GB2312" w:hAnsi="CESI仿宋-GB2312" w:eastAsia="CESI仿宋-GB2312" w:cs="CESI仿宋-GB2312"/>
          <w:color w:val="000000"/>
          <w:kern w:val="0"/>
          <w:sz w:val="32"/>
          <w:szCs w:val="32"/>
          <w:highlight w:val="none"/>
          <w:lang w:val="en-US" w:eastAsia="zh-CN" w:bidi="ar-SA"/>
        </w:rPr>
        <w:t>未来将</w:t>
      </w:r>
      <w:r>
        <w:rPr>
          <w:rFonts w:hint="default" w:ascii="CESI仿宋-GB2312" w:hAnsi="CESI仿宋-GB2312" w:eastAsia="CESI仿宋-GB2312" w:cs="CESI仿宋-GB2312"/>
          <w:color w:val="000000"/>
          <w:kern w:val="0"/>
          <w:sz w:val="32"/>
          <w:szCs w:val="32"/>
          <w:highlight w:val="none"/>
          <w:lang w:val="en-US" w:eastAsia="zh-CN" w:bidi="ar-SA"/>
        </w:rPr>
        <w:t>进一步完善培训考核内容及标准</w:t>
      </w:r>
      <w:r>
        <w:rPr>
          <w:rFonts w:hint="eastAsia" w:ascii="CESI仿宋-GB2312" w:hAnsi="CESI仿宋-GB2312" w:eastAsia="CESI仿宋-GB2312" w:cs="CESI仿宋-GB2312"/>
          <w:color w:val="000000"/>
          <w:kern w:val="0"/>
          <w:sz w:val="32"/>
          <w:szCs w:val="32"/>
          <w:highlight w:val="none"/>
          <w:lang w:val="en-US" w:eastAsia="zh-CN" w:bidi="ar-SA"/>
        </w:rPr>
        <w:t>，</w:t>
      </w:r>
      <w:r>
        <w:rPr>
          <w:rFonts w:hint="default" w:ascii="CESI仿宋-GB2312" w:hAnsi="CESI仿宋-GB2312" w:eastAsia="CESI仿宋-GB2312" w:cs="CESI仿宋-GB2312"/>
          <w:color w:val="000000"/>
          <w:kern w:val="0"/>
          <w:sz w:val="32"/>
          <w:szCs w:val="32"/>
          <w:highlight w:val="none"/>
          <w:lang w:val="en-US" w:eastAsia="zh-CN" w:bidi="ar-SA"/>
        </w:rPr>
        <w:t>提升</w:t>
      </w:r>
      <w:r>
        <w:rPr>
          <w:rFonts w:hint="eastAsia" w:ascii="CESI仿宋-GB2312" w:hAnsi="CESI仿宋-GB2312" w:eastAsia="CESI仿宋-GB2312" w:cs="CESI仿宋-GB2312"/>
          <w:color w:val="000000"/>
          <w:kern w:val="0"/>
          <w:sz w:val="32"/>
          <w:szCs w:val="32"/>
          <w:highlight w:val="none"/>
          <w:lang w:val="en-US" w:eastAsia="zh-CN" w:bidi="ar-SA"/>
        </w:rPr>
        <w:t>公共</w:t>
      </w:r>
      <w:r>
        <w:rPr>
          <w:rFonts w:hint="default" w:ascii="CESI仿宋-GB2312" w:hAnsi="CESI仿宋-GB2312" w:eastAsia="CESI仿宋-GB2312" w:cs="CESI仿宋-GB2312"/>
          <w:color w:val="000000"/>
          <w:kern w:val="0"/>
          <w:sz w:val="32"/>
          <w:szCs w:val="32"/>
          <w:highlight w:val="none"/>
          <w:lang w:val="en-US" w:eastAsia="zh-CN" w:bidi="ar-SA"/>
        </w:rPr>
        <w:t>服务细节。</w:t>
      </w:r>
    </w:p>
    <w:p>
      <w:pPr>
        <w:pStyle w:val="10"/>
        <w:adjustRightInd w:val="0"/>
        <w:snapToGrid w:val="0"/>
        <w:spacing w:line="360" w:lineRule="auto"/>
        <w:ind w:firstLine="640"/>
        <w:outlineLvl w:val="2"/>
        <w:rPr>
          <w:rFonts w:hint="default" w:ascii="CESI仿宋-GB2312" w:hAnsi="CESI仿宋-GB2312" w:eastAsia="CESI仿宋-GB2312" w:cs="CESI仿宋-GB2312"/>
          <w:color w:val="000000"/>
          <w:kern w:val="0"/>
          <w:sz w:val="32"/>
          <w:szCs w:val="32"/>
          <w:highlight w:val="none"/>
          <w:lang w:val="en-US" w:eastAsia="zh-CN" w:bidi="ar-SA"/>
        </w:rPr>
      </w:pPr>
      <w:r>
        <w:rPr>
          <w:rFonts w:hint="default" w:ascii="CESI仿宋-GB2312" w:hAnsi="CESI仿宋-GB2312" w:eastAsia="CESI仿宋-GB2312" w:cs="CESI仿宋-GB2312"/>
          <w:color w:val="000000"/>
          <w:kern w:val="0"/>
          <w:sz w:val="32"/>
          <w:szCs w:val="32"/>
          <w:highlight w:val="none"/>
          <w:lang w:val="en-US" w:eastAsia="zh-CN" w:bidi="ar-SA"/>
        </w:rPr>
        <w:t>3.产出时效</w:t>
      </w:r>
      <w:r>
        <w:rPr>
          <w:rFonts w:hint="eastAsia" w:ascii="CESI仿宋-GB2312" w:hAnsi="CESI仿宋-GB2312" w:eastAsia="CESI仿宋-GB2312" w:cs="CESI仿宋-GB2312"/>
          <w:color w:val="000000"/>
          <w:kern w:val="0"/>
          <w:sz w:val="32"/>
          <w:szCs w:val="32"/>
          <w:highlight w:val="none"/>
          <w:lang w:val="en-US" w:eastAsia="zh-CN" w:bidi="ar-SA"/>
        </w:rPr>
        <w:t>完成</w:t>
      </w:r>
      <w:r>
        <w:rPr>
          <w:rFonts w:hint="default" w:ascii="CESI仿宋-GB2312" w:hAnsi="CESI仿宋-GB2312" w:eastAsia="CESI仿宋-GB2312" w:cs="CESI仿宋-GB2312"/>
          <w:color w:val="000000"/>
          <w:kern w:val="0"/>
          <w:sz w:val="32"/>
          <w:szCs w:val="32"/>
          <w:highlight w:val="none"/>
          <w:lang w:val="en-US" w:eastAsia="zh-CN" w:bidi="ar-SA"/>
        </w:rPr>
        <w:t>及时性分析</w:t>
      </w:r>
    </w:p>
    <w:p>
      <w:pPr>
        <w:pStyle w:val="10"/>
        <w:adjustRightInd w:val="0"/>
        <w:snapToGrid w:val="0"/>
        <w:spacing w:line="360" w:lineRule="auto"/>
        <w:ind w:firstLine="640"/>
        <w:rPr>
          <w:rFonts w:hint="default" w:ascii="CESI仿宋-GB2312" w:hAnsi="CESI仿宋-GB2312" w:eastAsia="CESI仿宋-GB2312" w:cs="CESI仿宋-GB2312"/>
          <w:color w:val="000000"/>
          <w:kern w:val="0"/>
          <w:sz w:val="32"/>
          <w:szCs w:val="32"/>
          <w:highlight w:val="none"/>
          <w:lang w:val="en-US" w:eastAsia="zh-CN" w:bidi="ar-SA"/>
        </w:rPr>
      </w:pPr>
      <w:r>
        <w:rPr>
          <w:rFonts w:hint="default" w:ascii="CESI仿宋-GB2312" w:hAnsi="CESI仿宋-GB2312" w:eastAsia="CESI仿宋-GB2312" w:cs="CESI仿宋-GB2312"/>
          <w:color w:val="000000"/>
          <w:kern w:val="0"/>
          <w:sz w:val="32"/>
          <w:szCs w:val="32"/>
          <w:highlight w:val="none"/>
          <w:lang w:val="en-US" w:eastAsia="zh-CN" w:bidi="ar-SA"/>
        </w:rPr>
        <w:t>产出时效方面，项目基本按计划执行，实际各岗位需求</w:t>
      </w:r>
      <w:r>
        <w:rPr>
          <w:rFonts w:hint="eastAsia" w:ascii="CESI仿宋-GB2312" w:hAnsi="CESI仿宋-GB2312" w:eastAsia="CESI仿宋-GB2312" w:cs="CESI仿宋-GB2312"/>
          <w:color w:val="000000"/>
          <w:kern w:val="0"/>
          <w:sz w:val="32"/>
          <w:szCs w:val="32"/>
          <w:highlight w:val="none"/>
          <w:lang w:val="en-US" w:eastAsia="zh-CN" w:bidi="ar-SA"/>
        </w:rPr>
        <w:t>人数</w:t>
      </w:r>
      <w:r>
        <w:rPr>
          <w:rFonts w:hint="default" w:ascii="CESI仿宋-GB2312" w:hAnsi="CESI仿宋-GB2312" w:eastAsia="CESI仿宋-GB2312" w:cs="CESI仿宋-GB2312"/>
          <w:color w:val="000000"/>
          <w:kern w:val="0"/>
          <w:sz w:val="32"/>
          <w:szCs w:val="32"/>
          <w:highlight w:val="none"/>
          <w:lang w:val="en-US" w:eastAsia="zh-CN" w:bidi="ar-SA"/>
        </w:rPr>
        <w:t>按要求进场，满足了东馆开馆的</w:t>
      </w:r>
      <w:r>
        <w:rPr>
          <w:rFonts w:hint="eastAsia" w:ascii="CESI仿宋-GB2312" w:hAnsi="CESI仿宋-GB2312" w:eastAsia="CESI仿宋-GB2312" w:cs="CESI仿宋-GB2312"/>
          <w:color w:val="000000"/>
          <w:kern w:val="0"/>
          <w:sz w:val="32"/>
          <w:szCs w:val="32"/>
          <w:highlight w:val="none"/>
          <w:lang w:val="en-US" w:eastAsia="zh-CN" w:bidi="ar-SA"/>
        </w:rPr>
        <w:t>服务</w:t>
      </w:r>
      <w:r>
        <w:rPr>
          <w:rFonts w:hint="default" w:ascii="CESI仿宋-GB2312" w:hAnsi="CESI仿宋-GB2312" w:eastAsia="CESI仿宋-GB2312" w:cs="CESI仿宋-GB2312"/>
          <w:color w:val="000000"/>
          <w:kern w:val="0"/>
          <w:sz w:val="32"/>
          <w:szCs w:val="32"/>
          <w:highlight w:val="none"/>
          <w:lang w:val="en-US" w:eastAsia="zh-CN" w:bidi="ar-SA"/>
        </w:rPr>
        <w:t>人员需求，确保东馆顺利开馆。项目实施过程中，乙方支付履约保证金时间晚于合同约定</w:t>
      </w:r>
      <w:r>
        <w:rPr>
          <w:rFonts w:hint="eastAsia" w:ascii="CESI仿宋-GB2312" w:hAnsi="CESI仿宋-GB2312" w:eastAsia="CESI仿宋-GB2312" w:cs="CESI仿宋-GB2312"/>
          <w:color w:val="000000"/>
          <w:kern w:val="0"/>
          <w:sz w:val="32"/>
          <w:szCs w:val="32"/>
          <w:highlight w:val="none"/>
          <w:lang w:val="en-US" w:eastAsia="zh-CN" w:bidi="ar-SA"/>
        </w:rPr>
        <w:t>，未来将加强管理，避免此类问题发生</w:t>
      </w:r>
      <w:r>
        <w:rPr>
          <w:rFonts w:hint="default" w:ascii="CESI仿宋-GB2312" w:hAnsi="CESI仿宋-GB2312" w:eastAsia="CESI仿宋-GB2312" w:cs="CESI仿宋-GB2312"/>
          <w:color w:val="000000"/>
          <w:kern w:val="0"/>
          <w:sz w:val="32"/>
          <w:szCs w:val="32"/>
          <w:highlight w:val="none"/>
          <w:lang w:val="en-US" w:eastAsia="zh-CN" w:bidi="ar-SA"/>
        </w:rPr>
        <w:t>。</w:t>
      </w:r>
    </w:p>
    <w:p>
      <w:pPr>
        <w:pStyle w:val="10"/>
        <w:adjustRightInd w:val="0"/>
        <w:snapToGrid w:val="0"/>
        <w:spacing w:line="360" w:lineRule="auto"/>
        <w:ind w:firstLine="640"/>
        <w:outlineLvl w:val="2"/>
        <w:rPr>
          <w:rFonts w:hint="default" w:ascii="CESI仿宋-GB2312" w:hAnsi="CESI仿宋-GB2312" w:eastAsia="CESI仿宋-GB2312" w:cs="CESI仿宋-GB2312"/>
          <w:color w:val="000000"/>
          <w:kern w:val="0"/>
          <w:sz w:val="32"/>
          <w:szCs w:val="32"/>
          <w:highlight w:val="none"/>
          <w:lang w:val="en-US" w:eastAsia="zh-CN" w:bidi="ar-SA"/>
        </w:rPr>
      </w:pPr>
      <w:r>
        <w:rPr>
          <w:rFonts w:hint="default" w:ascii="CESI仿宋-GB2312" w:hAnsi="CESI仿宋-GB2312" w:eastAsia="CESI仿宋-GB2312" w:cs="CESI仿宋-GB2312"/>
          <w:color w:val="000000"/>
          <w:kern w:val="0"/>
          <w:sz w:val="32"/>
          <w:szCs w:val="32"/>
          <w:highlight w:val="none"/>
          <w:lang w:val="en-US" w:eastAsia="zh-CN" w:bidi="ar-SA"/>
        </w:rPr>
        <w:t>4.产出成本节约情况分析</w:t>
      </w:r>
    </w:p>
    <w:p>
      <w:pPr>
        <w:pStyle w:val="10"/>
        <w:adjustRightInd w:val="0"/>
        <w:snapToGrid w:val="0"/>
        <w:spacing w:line="360" w:lineRule="auto"/>
        <w:ind w:firstLine="640"/>
        <w:rPr>
          <w:rFonts w:hint="default" w:ascii="CESI仿宋-GB2312" w:hAnsi="CESI仿宋-GB2312" w:eastAsia="CESI仿宋-GB2312" w:cs="CESI仿宋-GB2312"/>
          <w:color w:val="000000"/>
          <w:kern w:val="0"/>
          <w:sz w:val="32"/>
          <w:szCs w:val="32"/>
          <w:highlight w:val="none"/>
          <w:lang w:val="en-US" w:eastAsia="zh-CN" w:bidi="ar-SA"/>
        </w:rPr>
      </w:pPr>
      <w:r>
        <w:rPr>
          <w:rFonts w:hint="default" w:ascii="CESI仿宋-GB2312" w:hAnsi="CESI仿宋-GB2312" w:eastAsia="CESI仿宋-GB2312" w:cs="CESI仿宋-GB2312"/>
          <w:color w:val="000000"/>
          <w:kern w:val="0"/>
          <w:sz w:val="32"/>
          <w:szCs w:val="32"/>
          <w:highlight w:val="none"/>
          <w:lang w:val="en-US" w:eastAsia="zh-CN" w:bidi="ar-SA"/>
        </w:rPr>
        <w:t>该项目2024年申请预算资金总额1939.911924万元，实际支出1939.911924万元，预算执行率达100%。在资金支付流程的精细化管理和与服务进度的实时匹配方面，未来有进一步的优化空间，以确保资金效益最大化。</w:t>
      </w:r>
    </w:p>
    <w:p>
      <w:pPr>
        <w:adjustRightInd w:val="0"/>
        <w:snapToGrid w:val="0"/>
        <w:spacing w:line="360" w:lineRule="auto"/>
        <w:ind w:firstLine="640" w:firstLineChars="200"/>
        <w:outlineLvl w:val="1"/>
        <w:rPr>
          <w:rFonts w:hint="default" w:ascii="方正楷体_GBK" w:hAnsi="方正楷体_GBK" w:eastAsia="方正楷体_GBK" w:cs="方正楷体_GBK"/>
          <w:b w:val="0"/>
          <w:bCs w:val="0"/>
          <w:color w:val="000000"/>
          <w:kern w:val="0"/>
          <w:sz w:val="32"/>
          <w:szCs w:val="32"/>
          <w:highlight w:val="none"/>
        </w:rPr>
      </w:pPr>
      <w:bookmarkStart w:id="15" w:name="_Toc11132"/>
      <w:r>
        <w:rPr>
          <w:rFonts w:hint="default" w:ascii="方正楷体_GBK" w:hAnsi="方正楷体_GBK" w:eastAsia="方正楷体_GBK" w:cs="方正楷体_GBK"/>
          <w:b w:val="0"/>
          <w:bCs w:val="0"/>
          <w:color w:val="000000"/>
          <w:kern w:val="0"/>
          <w:sz w:val="32"/>
          <w:szCs w:val="32"/>
          <w:highlight w:val="none"/>
        </w:rPr>
        <w:t>（四）项目效益情况</w:t>
      </w:r>
      <w:bookmarkEnd w:id="15"/>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1.社会效益实现情况</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北京大运河博物馆（首都博物馆东馆）通过招募201名服务人员并提供高质量服务，有效保障了2024年的正常开放运营。全年实际接待观众达260万人次，单日最高接待3.4万人次，远超原预计180万人次的年度目标，超出预期44.4%，极大地满足了公众文化需求，提升了参观体验。同时，作为城市副中心“绿心”三大文化建筑之一，东馆的良好运营和高水平服务赢得了公众广泛认可，显著提升了博物馆和城市副中心的文化影响力，为北京全国文化中心和</w:t>
      </w:r>
      <w:r>
        <w:rPr>
          <w:rFonts w:hint="eastAsia" w:ascii="CESI仿宋-GB2312" w:hAnsi="CESI仿宋-GB2312" w:eastAsia="CESI仿宋-GB2312" w:cs="CESI仿宋-GB2312"/>
          <w:color w:val="000000"/>
          <w:kern w:val="0"/>
          <w:sz w:val="32"/>
          <w:szCs w:val="32"/>
          <w:highlight w:val="none"/>
          <w:lang w:eastAsia="zh-CN"/>
        </w:rPr>
        <w:t>国际</w:t>
      </w:r>
      <w:r>
        <w:rPr>
          <w:rFonts w:hint="default" w:ascii="CESI仿宋-GB2312" w:hAnsi="CESI仿宋-GB2312" w:eastAsia="CESI仿宋-GB2312" w:cs="CESI仿宋-GB2312"/>
          <w:color w:val="000000"/>
          <w:kern w:val="0"/>
          <w:sz w:val="32"/>
          <w:szCs w:val="32"/>
          <w:highlight w:val="none"/>
        </w:rPr>
        <w:t>交往中心建设发挥了积极作用，展现出北京作为文化古都与现代大都市的独特魅力。</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2.可持续影响实现情况</w:t>
      </w:r>
    </w:p>
    <w:p>
      <w:pPr>
        <w:adjustRightInd w:val="0"/>
        <w:snapToGrid w:val="0"/>
        <w:spacing w:line="360" w:lineRule="auto"/>
        <w:ind w:firstLine="640" w:firstLineChars="200"/>
        <w:rPr>
          <w:rFonts w:hint="default" w:ascii="Times New Roman" w:hAnsi="Times New Roman" w:eastAsia="仿宋_GB2312" w:cs="Times New Roman"/>
          <w:b w:val="0"/>
          <w:bCs w:val="0"/>
          <w:color w:val="000000"/>
          <w:kern w:val="0"/>
          <w:sz w:val="32"/>
          <w:szCs w:val="32"/>
          <w:highlight w:val="none"/>
        </w:rPr>
      </w:pPr>
      <w:r>
        <w:rPr>
          <w:rFonts w:hint="default" w:ascii="Times New Roman" w:hAnsi="Times New Roman" w:eastAsia="仿宋_GB2312" w:cs="Times New Roman"/>
          <w:b w:val="0"/>
          <w:bCs w:val="0"/>
          <w:color w:val="000000"/>
          <w:kern w:val="0"/>
          <w:sz w:val="32"/>
          <w:szCs w:val="32"/>
          <w:highlight w:val="none"/>
        </w:rPr>
        <w:t>为确保安全、有序运营，项目通过招募专业服务人员，建立了完善的管理制度与工作流程，为东馆日常开放提供了坚实保障。服务人员严格执行各项规章，切实维护展厅与公共区域秩序，落实消防安全管理，全面保障文物、观众及员工的人身与财产安全。同时，团队积极配合完成馆内重大活</w:t>
      </w:r>
      <w:r>
        <w:rPr>
          <w:rFonts w:hint="default" w:ascii="CESI仿宋-GB2312" w:hAnsi="CESI仿宋-GB2312" w:eastAsia="CESI仿宋-GB2312" w:cs="CESI仿宋-GB2312"/>
          <w:color w:val="000000"/>
          <w:kern w:val="0"/>
          <w:sz w:val="32"/>
          <w:szCs w:val="32"/>
          <w:highlight w:val="none"/>
        </w:rPr>
        <w:t>动保障与接待任务，累计投入262人次，并获得北京市政府、中国外交部等国家部委的感谢信，充分体现了在复杂情况下的综合运营能力。作为新馆开放的首年，2024年的顺利运行为东馆在观众服务需求分析、服务商管理</w:t>
      </w:r>
      <w:r>
        <w:rPr>
          <w:rFonts w:hint="eastAsia" w:ascii="CESI仿宋-GB2312" w:hAnsi="CESI仿宋-GB2312" w:eastAsia="CESI仿宋-GB2312" w:cs="CESI仿宋-GB2312"/>
          <w:color w:val="000000"/>
          <w:kern w:val="0"/>
          <w:sz w:val="32"/>
          <w:szCs w:val="32"/>
          <w:highlight w:val="none"/>
          <w:lang w:eastAsia="zh-CN"/>
        </w:rPr>
        <w:t>能力</w:t>
      </w:r>
      <w:r>
        <w:rPr>
          <w:rFonts w:hint="default" w:ascii="CESI仿宋-GB2312" w:hAnsi="CESI仿宋-GB2312" w:eastAsia="CESI仿宋-GB2312" w:cs="CESI仿宋-GB2312"/>
          <w:color w:val="000000"/>
          <w:kern w:val="0"/>
          <w:sz w:val="32"/>
          <w:szCs w:val="32"/>
          <w:highlight w:val="none"/>
        </w:rPr>
        <w:t>提升等方面积累了重要经验，为该项目的持续实施与良性发展奠定</w:t>
      </w:r>
      <w:r>
        <w:rPr>
          <w:rFonts w:hint="eastAsia" w:ascii="CESI仿宋-GB2312" w:hAnsi="CESI仿宋-GB2312" w:eastAsia="CESI仿宋-GB2312" w:cs="CESI仿宋-GB2312"/>
          <w:color w:val="000000"/>
          <w:kern w:val="0"/>
          <w:sz w:val="32"/>
          <w:szCs w:val="32"/>
          <w:highlight w:val="none"/>
          <w:lang w:eastAsia="zh-CN"/>
        </w:rPr>
        <w:t>了</w:t>
      </w:r>
      <w:r>
        <w:rPr>
          <w:rFonts w:hint="default" w:ascii="CESI仿宋-GB2312" w:hAnsi="CESI仿宋-GB2312" w:eastAsia="CESI仿宋-GB2312" w:cs="CESI仿宋-GB2312"/>
          <w:color w:val="000000"/>
          <w:kern w:val="0"/>
          <w:sz w:val="32"/>
          <w:szCs w:val="32"/>
          <w:highlight w:val="none"/>
        </w:rPr>
        <w:t>基础，也将助力东馆不断优化服务、提升管理效能，</w:t>
      </w:r>
      <w:r>
        <w:rPr>
          <w:rFonts w:hint="default" w:ascii="Times New Roman" w:hAnsi="Times New Roman" w:eastAsia="仿宋_GB2312" w:cs="Times New Roman"/>
          <w:b w:val="0"/>
          <w:bCs w:val="0"/>
          <w:color w:val="000000"/>
          <w:kern w:val="0"/>
          <w:sz w:val="32"/>
          <w:szCs w:val="32"/>
          <w:highlight w:val="none"/>
        </w:rPr>
        <w:t>实现可持续、高质量运营。</w:t>
      </w:r>
    </w:p>
    <w:p>
      <w:pPr>
        <w:adjustRightInd w:val="0"/>
        <w:snapToGrid w:val="0"/>
        <w:spacing w:line="360" w:lineRule="auto"/>
        <w:ind w:firstLine="640" w:firstLineChars="200"/>
        <w:outlineLvl w:val="2"/>
        <w:rPr>
          <w:rFonts w:hint="default" w:ascii="Times New Roman" w:hAnsi="Times New Roman" w:eastAsia="仿宋_GB2312" w:cs="Times New Roman"/>
          <w:color w:val="000000"/>
          <w:kern w:val="0"/>
          <w:sz w:val="32"/>
          <w:szCs w:val="32"/>
          <w:highlight w:val="none"/>
        </w:rPr>
      </w:pPr>
      <w:r>
        <w:rPr>
          <w:rFonts w:hint="default" w:ascii="CESI仿宋-GB2312" w:hAnsi="CESI仿宋-GB2312" w:eastAsia="CESI仿宋-GB2312" w:cs="CESI仿宋-GB2312"/>
          <w:color w:val="000000"/>
          <w:kern w:val="0"/>
          <w:sz w:val="32"/>
          <w:szCs w:val="32"/>
          <w:highlight w:val="none"/>
        </w:rPr>
        <w:t>3.服务</w:t>
      </w:r>
      <w:r>
        <w:rPr>
          <w:rFonts w:hint="default" w:ascii="Times New Roman" w:hAnsi="Times New Roman" w:eastAsia="仿宋_GB2312" w:cs="Times New Roman"/>
          <w:color w:val="000000"/>
          <w:kern w:val="0"/>
          <w:sz w:val="32"/>
          <w:szCs w:val="32"/>
          <w:highlight w:val="none"/>
        </w:rPr>
        <w:t>对象满意度</w:t>
      </w:r>
    </w:p>
    <w:p>
      <w:pPr>
        <w:adjustRightInd w:val="0"/>
        <w:snapToGrid w:val="0"/>
        <w:spacing w:line="360" w:lineRule="auto"/>
        <w:ind w:firstLine="640" w:firstLineChars="200"/>
        <w:outlineLvl w:val="2"/>
        <w:rPr>
          <w:rFonts w:hint="default" w:ascii="CESI仿宋-GB2312" w:hAnsi="CESI仿宋-GB2312" w:eastAsia="CESI仿宋-GB2312" w:cs="CESI仿宋-GB2312"/>
          <w:color w:val="000000"/>
          <w:kern w:val="0"/>
          <w:sz w:val="32"/>
          <w:szCs w:val="32"/>
          <w:highlight w:val="none"/>
        </w:rPr>
      </w:pPr>
      <w:bookmarkStart w:id="16" w:name="_Toc9401"/>
      <w:r>
        <w:rPr>
          <w:rFonts w:hint="default" w:ascii="CESI仿宋-GB2312" w:hAnsi="CESI仿宋-GB2312" w:eastAsia="CESI仿宋-GB2312" w:cs="CESI仿宋-GB2312"/>
          <w:color w:val="000000"/>
          <w:kern w:val="0"/>
          <w:sz w:val="32"/>
          <w:szCs w:val="32"/>
          <w:highlight w:val="none"/>
        </w:rPr>
        <w:t>通过对管理者和观众双方的满意度分析，</w:t>
      </w:r>
      <w:r>
        <w:rPr>
          <w:rFonts w:hint="eastAsia" w:ascii="CESI仿宋-GB2312" w:hAnsi="CESI仿宋-GB2312" w:eastAsia="CESI仿宋-GB2312" w:cs="CESI仿宋-GB2312"/>
          <w:color w:val="000000"/>
          <w:kern w:val="0"/>
          <w:sz w:val="32"/>
          <w:szCs w:val="32"/>
          <w:highlight w:val="none"/>
          <w:lang w:val="en-US" w:eastAsia="zh-CN"/>
        </w:rPr>
        <w:t>该</w:t>
      </w:r>
      <w:r>
        <w:rPr>
          <w:rFonts w:hint="default" w:ascii="CESI仿宋-GB2312" w:hAnsi="CESI仿宋-GB2312" w:eastAsia="CESI仿宋-GB2312" w:cs="CESI仿宋-GB2312"/>
          <w:color w:val="000000"/>
          <w:kern w:val="0"/>
          <w:sz w:val="32"/>
          <w:szCs w:val="32"/>
          <w:highlight w:val="none"/>
        </w:rPr>
        <w:t>项目在服务质量上获得不同层面的高度认可。项目设定的管理者满意度指标为90%以上，实际通过对首都博物馆管理层的问卷调查，满意度达到100%，体现出管理方对服务各环节专业水平和责任意识的高度肯定，为持续合作奠定坚实基础。同时，尽管初始未设置观众满意度指标，馆方仍主动开展调查，结果显示整体满意度达92.84%，表明观众对服务人员热情周到、专业高效的秩序维护及所营造的安全有序参观环境予以积极评价，这不仅提升了东馆公众形象，也促进了文化传播功能的发挥。综上所述，满意度调查为项目提供了宝贵反馈，未来还需进一步扩大样本覆盖与科学性，以更全面收集意见，持续提升服务水平。</w:t>
      </w:r>
    </w:p>
    <w:p>
      <w:pPr>
        <w:adjustRightInd w:val="0"/>
        <w:snapToGrid w:val="0"/>
        <w:spacing w:line="360" w:lineRule="auto"/>
        <w:ind w:firstLine="640" w:firstLineChars="200"/>
        <w:outlineLvl w:val="0"/>
        <w:rPr>
          <w:rFonts w:hint="default" w:ascii="方正黑体_GBK" w:hAnsi="方正黑体_GBK" w:eastAsia="方正黑体_GBK" w:cs="方正黑体_GBK"/>
          <w:b w:val="0"/>
          <w:bCs w:val="0"/>
          <w:color w:val="000000"/>
          <w:kern w:val="0"/>
          <w:sz w:val="32"/>
          <w:szCs w:val="32"/>
          <w:highlight w:val="none"/>
        </w:rPr>
      </w:pPr>
      <w:r>
        <w:rPr>
          <w:rFonts w:hint="default" w:ascii="方正黑体_GBK" w:hAnsi="方正黑体_GBK" w:eastAsia="方正黑体_GBK" w:cs="方正黑体_GBK"/>
          <w:b w:val="0"/>
          <w:bCs w:val="0"/>
          <w:color w:val="000000"/>
          <w:kern w:val="0"/>
          <w:sz w:val="32"/>
          <w:szCs w:val="32"/>
          <w:highlight w:val="none"/>
        </w:rPr>
        <w:t>五、主要经验及做法、存在的问题及原因分析</w:t>
      </w:r>
      <w:bookmarkEnd w:id="16"/>
    </w:p>
    <w:p>
      <w:pPr>
        <w:adjustRightInd w:val="0"/>
        <w:snapToGrid w:val="0"/>
        <w:spacing w:line="360" w:lineRule="auto"/>
        <w:ind w:firstLine="640" w:firstLineChars="200"/>
        <w:outlineLvl w:val="1"/>
        <w:rPr>
          <w:rFonts w:hint="default" w:ascii="CESI仿宋-GB2312" w:hAnsi="CESI仿宋-GB2312" w:eastAsia="CESI仿宋-GB2312" w:cs="CESI仿宋-GB2312"/>
          <w:color w:val="000000"/>
          <w:kern w:val="0"/>
          <w:sz w:val="32"/>
          <w:szCs w:val="32"/>
          <w:highlight w:val="none"/>
        </w:rPr>
      </w:pPr>
      <w:bookmarkStart w:id="17" w:name="_Toc13338"/>
      <w:r>
        <w:rPr>
          <w:rFonts w:hint="default" w:ascii="方正楷体_GBK" w:hAnsi="方正楷体_GBK" w:eastAsia="方正楷体_GBK" w:cs="方正楷体_GBK"/>
          <w:b w:val="0"/>
          <w:bCs w:val="0"/>
          <w:color w:val="000000"/>
          <w:kern w:val="0"/>
          <w:sz w:val="32"/>
          <w:szCs w:val="32"/>
          <w:highlight w:val="none"/>
        </w:rPr>
        <w:t>（一）主要经验及做法</w:t>
      </w:r>
      <w:bookmarkEnd w:id="17"/>
    </w:p>
    <w:p>
      <w:pPr>
        <w:adjustRightInd w:val="0"/>
        <w:snapToGrid w:val="0"/>
        <w:spacing w:line="360" w:lineRule="auto"/>
        <w:ind w:firstLine="640" w:firstLineChars="200"/>
        <w:rPr>
          <w:rFonts w:hint="default" w:ascii="Times New Roman" w:hAnsi="Times New Roman" w:eastAsia="仿宋_GB2312" w:cs="Times New Roman"/>
          <w:b w:val="0"/>
          <w:bCs w:val="0"/>
          <w:color w:val="000000"/>
          <w:kern w:val="0"/>
          <w:sz w:val="32"/>
          <w:szCs w:val="32"/>
          <w:highlight w:val="none"/>
        </w:rPr>
      </w:pPr>
      <w:r>
        <w:rPr>
          <w:rFonts w:hint="default" w:ascii="Times New Roman" w:hAnsi="Times New Roman" w:eastAsia="仿宋_GB2312" w:cs="Times New Roman"/>
          <w:b w:val="0"/>
          <w:bCs w:val="0"/>
          <w:color w:val="000000"/>
          <w:kern w:val="0"/>
          <w:sz w:val="32"/>
          <w:szCs w:val="32"/>
          <w:highlight w:val="none"/>
        </w:rPr>
        <w:t>科学规划与</w:t>
      </w:r>
      <w:r>
        <w:rPr>
          <w:rFonts w:hint="eastAsia" w:ascii="Times New Roman" w:hAnsi="Times New Roman" w:eastAsia="仿宋_GB2312" w:cs="Times New Roman"/>
          <w:b w:val="0"/>
          <w:bCs w:val="0"/>
          <w:color w:val="000000"/>
          <w:kern w:val="0"/>
          <w:sz w:val="32"/>
          <w:szCs w:val="32"/>
          <w:highlight w:val="none"/>
          <w:lang w:eastAsia="zh-CN"/>
        </w:rPr>
        <w:t>统筹</w:t>
      </w:r>
      <w:r>
        <w:rPr>
          <w:rFonts w:hint="default" w:ascii="Times New Roman" w:hAnsi="Times New Roman" w:eastAsia="仿宋_GB2312" w:cs="Times New Roman"/>
          <w:b w:val="0"/>
          <w:bCs w:val="0"/>
          <w:color w:val="000000"/>
          <w:kern w:val="0"/>
          <w:sz w:val="32"/>
          <w:szCs w:val="32"/>
          <w:highlight w:val="none"/>
        </w:rPr>
        <w:t>配置。</w:t>
      </w:r>
      <w:r>
        <w:rPr>
          <w:rFonts w:hint="default" w:ascii="CESI仿宋-GB2312" w:hAnsi="CESI仿宋-GB2312" w:eastAsia="CESI仿宋-GB2312" w:cs="CESI仿宋-GB2312"/>
          <w:b w:val="0"/>
          <w:bCs w:val="0"/>
          <w:color w:val="000000"/>
          <w:kern w:val="0"/>
          <w:sz w:val="32"/>
          <w:szCs w:val="32"/>
          <w:highlight w:val="none"/>
        </w:rPr>
        <w:t>项目基于东馆的开放面积、展厅结构及功能区规划，科学设置了涵盖管理人员、开放秩序专项人员及传达室人员等201个岗位，确保了各区域服务覆盖无死角。这种精细化的岗位配置，不仅</w:t>
      </w:r>
      <w:r>
        <w:rPr>
          <w:rFonts w:hint="default" w:ascii="Times New Roman" w:hAnsi="Times New Roman" w:eastAsia="仿宋_GB2312" w:cs="Times New Roman"/>
          <w:b w:val="0"/>
          <w:bCs w:val="0"/>
          <w:color w:val="000000"/>
          <w:kern w:val="0"/>
          <w:sz w:val="32"/>
          <w:szCs w:val="32"/>
          <w:highlight w:val="none"/>
        </w:rPr>
        <w:t>满足了观众多样化的需求，也为后续的服务管理提供了坚实基础。</w:t>
      </w:r>
    </w:p>
    <w:p>
      <w:pPr>
        <w:adjustRightInd w:val="0"/>
        <w:snapToGrid w:val="0"/>
        <w:spacing w:line="360" w:lineRule="auto"/>
        <w:ind w:firstLine="640" w:firstLineChars="200"/>
        <w:rPr>
          <w:rFonts w:hint="default" w:ascii="Times New Roman" w:hAnsi="Times New Roman" w:eastAsia="仿宋_GB2312" w:cs="Times New Roman"/>
          <w:b w:val="0"/>
          <w:bCs w:val="0"/>
          <w:color w:val="000000"/>
          <w:kern w:val="0"/>
          <w:sz w:val="32"/>
          <w:szCs w:val="32"/>
          <w:highlight w:val="none"/>
        </w:rPr>
      </w:pPr>
      <w:r>
        <w:rPr>
          <w:rFonts w:hint="default" w:ascii="Times New Roman" w:hAnsi="Times New Roman" w:eastAsia="仿宋_GB2312" w:cs="Times New Roman"/>
          <w:b w:val="0"/>
          <w:bCs w:val="0"/>
          <w:color w:val="000000"/>
          <w:kern w:val="0"/>
          <w:sz w:val="32"/>
          <w:szCs w:val="32"/>
          <w:highlight w:val="none"/>
        </w:rPr>
        <w:t>系统化培训与严格考核。项目建立了完善的培训</w:t>
      </w:r>
      <w:bookmarkStart w:id="22" w:name="_GoBack"/>
      <w:bookmarkEnd w:id="22"/>
      <w:r>
        <w:rPr>
          <w:rFonts w:hint="default" w:ascii="Times New Roman" w:hAnsi="Times New Roman" w:eastAsia="仿宋_GB2312" w:cs="Times New Roman"/>
          <w:b w:val="0"/>
          <w:bCs w:val="0"/>
          <w:color w:val="000000"/>
          <w:kern w:val="0"/>
          <w:sz w:val="32"/>
          <w:szCs w:val="32"/>
          <w:highlight w:val="none"/>
        </w:rPr>
        <w:t>体系，对招募的服务人员进行全方位培训，包括入职培训、岗位服务礼仪等，确保服务人员具备专业服务能力。同时，通过定期与不定期相结合的考核方式，对服务人员进行全方位监督，确保服务质量持续达标，及时发现并整改问题。</w:t>
      </w:r>
    </w:p>
    <w:p>
      <w:pPr>
        <w:adjustRightInd w:val="0"/>
        <w:snapToGrid w:val="0"/>
        <w:spacing w:line="360" w:lineRule="auto"/>
        <w:ind w:firstLine="640" w:firstLineChars="200"/>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b w:val="0"/>
          <w:bCs w:val="0"/>
          <w:color w:val="000000"/>
          <w:kern w:val="0"/>
          <w:sz w:val="32"/>
          <w:szCs w:val="32"/>
          <w:highlight w:val="none"/>
        </w:rPr>
        <w:t>灵活应变与持续优化。</w:t>
      </w:r>
      <w:r>
        <w:rPr>
          <w:rFonts w:hint="default" w:ascii="Times New Roman" w:hAnsi="Times New Roman" w:eastAsia="仿宋_GB2312" w:cs="Times New Roman"/>
          <w:color w:val="000000"/>
          <w:kern w:val="0"/>
          <w:sz w:val="32"/>
          <w:szCs w:val="32"/>
          <w:highlight w:val="none"/>
        </w:rPr>
        <w:t>项目团队在面对观众量激增、重大活动保障等突发情况时，能够迅速调整资源配置，确保服务不间断。同时，项目注重收集观众反馈，通过满意度调查、留言分析等方式，不断优化服务内容和方式，以观众需求为导向，持续提升服务满意度。</w:t>
      </w:r>
    </w:p>
    <w:p>
      <w:pPr>
        <w:adjustRightInd w:val="0"/>
        <w:snapToGrid w:val="0"/>
        <w:spacing w:line="360" w:lineRule="auto"/>
        <w:ind w:firstLine="640" w:firstLineChars="200"/>
        <w:outlineLvl w:val="1"/>
        <w:rPr>
          <w:rFonts w:hint="default" w:ascii="方正楷体_GBK" w:hAnsi="方正楷体_GBK" w:eastAsia="方正楷体_GBK" w:cs="方正楷体_GBK"/>
          <w:b w:val="0"/>
          <w:bCs w:val="0"/>
          <w:color w:val="000000"/>
          <w:kern w:val="0"/>
          <w:sz w:val="32"/>
          <w:szCs w:val="32"/>
          <w:highlight w:val="none"/>
        </w:rPr>
      </w:pPr>
      <w:bookmarkStart w:id="18" w:name="_Toc7134"/>
      <w:r>
        <w:rPr>
          <w:rFonts w:hint="default" w:ascii="方正楷体_GBK" w:hAnsi="方正楷体_GBK" w:eastAsia="方正楷体_GBK" w:cs="方正楷体_GBK"/>
          <w:b w:val="0"/>
          <w:bCs w:val="0"/>
          <w:color w:val="000000"/>
          <w:kern w:val="0"/>
          <w:sz w:val="32"/>
          <w:szCs w:val="32"/>
          <w:highlight w:val="none"/>
        </w:rPr>
        <w:t>（二）存在的问题及原因分析</w:t>
      </w:r>
      <w:bookmarkEnd w:id="18"/>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640" w:firstLineChars="200"/>
        <w:textAlignment w:val="auto"/>
        <w:outlineLvl w:val="0"/>
        <w:rPr>
          <w:rFonts w:hint="default" w:ascii="Times New Roman" w:hAnsi="Times New Roman" w:eastAsia="仿宋_GB2312" w:cs="Times New Roman"/>
          <w:b/>
          <w:bCs/>
          <w:color w:val="000000"/>
          <w:kern w:val="0"/>
          <w:sz w:val="32"/>
          <w:szCs w:val="32"/>
          <w:highlight w:val="none"/>
        </w:rPr>
      </w:pPr>
      <w:bookmarkStart w:id="19" w:name="_Toc19786"/>
      <w:r>
        <w:rPr>
          <w:rFonts w:hint="default" w:ascii="Times New Roman" w:hAnsi="Times New Roman" w:eastAsia="仿宋_GB2312" w:cs="Times New Roman"/>
          <w:color w:val="000000"/>
          <w:kern w:val="0"/>
          <w:sz w:val="32"/>
          <w:szCs w:val="32"/>
          <w:highlight w:val="none"/>
          <w:lang w:val="en-US" w:eastAsia="zh-CN"/>
        </w:rPr>
        <w:t>项目管理中，一些环节仍有进一步提升的空间。例如，跨年实施项目的预算编制与年度执行之间的衔接可进一步强化，以提升预算编制的准确性。同时，项目绩效目标的设定也</w:t>
      </w:r>
      <w:r>
        <w:rPr>
          <w:rFonts w:hint="eastAsia" w:ascii="Times New Roman" w:hAnsi="Times New Roman" w:eastAsia="仿宋_GB2312" w:cs="Times New Roman"/>
          <w:color w:val="000000"/>
          <w:kern w:val="0"/>
          <w:sz w:val="32"/>
          <w:szCs w:val="32"/>
          <w:highlight w:val="none"/>
          <w:lang w:val="en-US" w:eastAsia="zh-CN"/>
        </w:rPr>
        <w:t>存在</w:t>
      </w:r>
      <w:r>
        <w:rPr>
          <w:rFonts w:hint="default" w:ascii="Times New Roman" w:hAnsi="Times New Roman" w:eastAsia="仿宋_GB2312" w:cs="Times New Roman"/>
          <w:color w:val="000000"/>
          <w:kern w:val="0"/>
          <w:sz w:val="32"/>
          <w:szCs w:val="32"/>
          <w:highlight w:val="none"/>
          <w:lang w:val="en-US" w:eastAsia="zh-CN"/>
        </w:rPr>
        <w:t>细化空间，具体表现在质量指标可更明确</w:t>
      </w:r>
      <w:r>
        <w:rPr>
          <w:rFonts w:hint="eastAsia" w:ascii="Times New Roman" w:hAnsi="Times New Roman" w:eastAsia="仿宋_GB2312" w:cs="Times New Roman"/>
          <w:color w:val="000000"/>
          <w:kern w:val="0"/>
          <w:sz w:val="32"/>
          <w:szCs w:val="32"/>
          <w:highlight w:val="none"/>
          <w:lang w:val="en-US" w:eastAsia="zh-CN"/>
        </w:rPr>
        <w:t>，</w:t>
      </w:r>
      <w:r>
        <w:rPr>
          <w:rFonts w:hint="default" w:ascii="Times New Roman" w:hAnsi="Times New Roman" w:eastAsia="仿宋_GB2312" w:cs="Times New Roman"/>
          <w:color w:val="000000"/>
          <w:kern w:val="0"/>
          <w:sz w:val="32"/>
          <w:szCs w:val="32"/>
          <w:highlight w:val="none"/>
          <w:lang w:val="en-US" w:eastAsia="zh-CN"/>
        </w:rPr>
        <w:t>可持续影响指标可更全面体现长期效果，服务对象可更精准定位，并可考虑引入公众满意度指标。</w:t>
      </w:r>
    </w:p>
    <w:p>
      <w:pPr>
        <w:adjustRightInd w:val="0"/>
        <w:snapToGrid w:val="0"/>
        <w:spacing w:line="360" w:lineRule="auto"/>
        <w:ind w:firstLine="640" w:firstLineChars="200"/>
        <w:outlineLvl w:val="0"/>
        <w:rPr>
          <w:rFonts w:hint="default" w:ascii="方正黑体_GBK" w:hAnsi="方正黑体_GBK" w:eastAsia="方正黑体_GBK" w:cs="方正黑体_GBK"/>
          <w:b w:val="0"/>
          <w:bCs w:val="0"/>
          <w:color w:val="000000"/>
          <w:kern w:val="0"/>
          <w:sz w:val="32"/>
          <w:szCs w:val="32"/>
          <w:highlight w:val="none"/>
        </w:rPr>
      </w:pPr>
      <w:r>
        <w:rPr>
          <w:rFonts w:hint="default" w:ascii="方正黑体_GBK" w:hAnsi="方正黑体_GBK" w:eastAsia="方正黑体_GBK" w:cs="方正黑体_GBK"/>
          <w:b w:val="0"/>
          <w:bCs w:val="0"/>
          <w:color w:val="000000"/>
          <w:kern w:val="0"/>
          <w:sz w:val="32"/>
          <w:szCs w:val="32"/>
          <w:highlight w:val="none"/>
          <w:lang w:val="en-US" w:eastAsia="zh-CN"/>
        </w:rPr>
        <w:t>六、</w:t>
      </w:r>
      <w:r>
        <w:rPr>
          <w:rFonts w:hint="default" w:ascii="方正黑体_GBK" w:hAnsi="方正黑体_GBK" w:eastAsia="方正黑体_GBK" w:cs="方正黑体_GBK"/>
          <w:b w:val="0"/>
          <w:bCs w:val="0"/>
          <w:color w:val="000000"/>
          <w:kern w:val="0"/>
          <w:sz w:val="32"/>
          <w:szCs w:val="32"/>
          <w:highlight w:val="none"/>
        </w:rPr>
        <w:t>有关建议</w:t>
      </w:r>
      <w:bookmarkEnd w:id="19"/>
    </w:p>
    <w:p>
      <w:pPr>
        <w:numPr>
          <w:ilvl w:val="0"/>
          <w:numId w:val="0"/>
        </w:numPr>
        <w:adjustRightInd w:val="0"/>
        <w:snapToGrid w:val="0"/>
        <w:spacing w:line="360" w:lineRule="auto"/>
        <w:ind w:firstLine="640" w:firstLineChars="200"/>
        <w:outlineLvl w:val="9"/>
        <w:rPr>
          <w:rFonts w:hint="default" w:ascii="Times New Roman" w:hAnsi="Times New Roman" w:eastAsia="仿宋_GB2312" w:cs="Times New Roman"/>
          <w:color w:val="000000"/>
          <w:kern w:val="0"/>
          <w:sz w:val="32"/>
          <w:szCs w:val="32"/>
          <w:highlight w:val="none"/>
          <w:lang w:val="en-US" w:eastAsia="zh-CN"/>
        </w:rPr>
      </w:pPr>
      <w:bookmarkStart w:id="20" w:name="_Toc10471"/>
      <w:r>
        <w:rPr>
          <w:rFonts w:hint="default" w:ascii="Times New Roman" w:hAnsi="Times New Roman" w:eastAsia="仿宋_GB2312" w:cs="Times New Roman"/>
          <w:color w:val="000000"/>
          <w:kern w:val="0"/>
          <w:sz w:val="32"/>
          <w:szCs w:val="32"/>
          <w:highlight w:val="none"/>
          <w:lang w:val="en-US" w:eastAsia="zh-CN"/>
        </w:rPr>
        <w:t>为进一步提高项目管理质量，推动项目高质量发展，建议从以下几个方面予以改进：一是完善项目决策与预算机制，优化资金支付及绩效目标设定流程，提升预算科学性和目标合理性；二是强化过程管控，规范组织实施，加强审计与资金监管，确保各项职责落实到位；三是提高产出质量，通过建立人员储备、优化服务细节等方式提升服务水平；四是健全效益评估机制，定期开展评估并扩大满意度调查样本量，提升结果的科学性和代表性。</w:t>
      </w:r>
    </w:p>
    <w:p>
      <w:pPr>
        <w:adjustRightInd w:val="0"/>
        <w:snapToGrid w:val="0"/>
        <w:spacing w:line="360" w:lineRule="auto"/>
        <w:ind w:firstLine="640" w:firstLineChars="200"/>
        <w:outlineLvl w:val="0"/>
        <w:rPr>
          <w:rFonts w:hint="default" w:ascii="方正黑体_GBK" w:hAnsi="方正黑体_GBK" w:eastAsia="方正黑体_GBK" w:cs="方正黑体_GBK"/>
          <w:b w:val="0"/>
          <w:bCs w:val="0"/>
          <w:color w:val="000000"/>
          <w:kern w:val="0"/>
          <w:sz w:val="32"/>
          <w:szCs w:val="32"/>
          <w:highlight w:val="none"/>
          <w:lang w:val="en-US" w:eastAsia="zh-CN"/>
        </w:rPr>
      </w:pPr>
      <w:r>
        <w:rPr>
          <w:rFonts w:hint="default" w:ascii="方正黑体_GBK" w:hAnsi="方正黑体_GBK" w:eastAsia="方正黑体_GBK" w:cs="方正黑体_GBK"/>
          <w:b w:val="0"/>
          <w:bCs w:val="0"/>
          <w:color w:val="000000"/>
          <w:kern w:val="0"/>
          <w:sz w:val="32"/>
          <w:szCs w:val="32"/>
          <w:highlight w:val="none"/>
          <w:lang w:val="en-US" w:eastAsia="zh-CN"/>
        </w:rPr>
        <w:t>七、其他需要说明的问题</w:t>
      </w:r>
      <w:bookmarkEnd w:id="20"/>
    </w:p>
    <w:p>
      <w:pPr>
        <w:adjustRightInd w:val="0"/>
        <w:snapToGrid w:val="0"/>
        <w:spacing w:line="360" w:lineRule="auto"/>
        <w:ind w:firstLine="640" w:firstLineChars="200"/>
        <w:rPr>
          <w:rFonts w:hint="default" w:ascii="Times New Roman" w:hAnsi="Times New Roman" w:eastAsia="仿宋_GB2312" w:cs="Times New Roman"/>
          <w:color w:val="000000"/>
          <w:kern w:val="0"/>
          <w:sz w:val="32"/>
          <w:szCs w:val="32"/>
          <w:highlight w:val="none"/>
        </w:rPr>
      </w:pPr>
      <w:r>
        <w:rPr>
          <w:rFonts w:hint="default" w:ascii="Times New Roman" w:hAnsi="Times New Roman" w:eastAsia="仿宋_GB2312" w:cs="Times New Roman"/>
          <w:color w:val="000000"/>
          <w:kern w:val="0"/>
          <w:sz w:val="32"/>
          <w:szCs w:val="32"/>
          <w:highlight w:val="none"/>
        </w:rPr>
        <w:t>无。</w:t>
      </w:r>
    </w:p>
    <w:p>
      <w:pPr>
        <w:adjustRightInd w:val="0"/>
        <w:snapToGrid w:val="0"/>
        <w:spacing w:line="360" w:lineRule="auto"/>
        <w:ind w:firstLine="640" w:firstLineChars="200"/>
        <w:rPr>
          <w:rFonts w:hint="default" w:ascii="Times New Roman" w:hAnsi="Times New Roman" w:eastAsia="仿宋_GB2312" w:cs="Times New Roman"/>
          <w:color w:val="000000"/>
          <w:kern w:val="0"/>
          <w:sz w:val="32"/>
          <w:szCs w:val="32"/>
          <w:highlight w:val="none"/>
        </w:rPr>
      </w:pPr>
    </w:p>
    <w:p>
      <w:pPr>
        <w:adjustRightInd w:val="0"/>
        <w:snapToGrid w:val="0"/>
        <w:spacing w:line="360" w:lineRule="auto"/>
        <w:ind w:firstLine="640" w:firstLineChars="200"/>
        <w:rPr>
          <w:rFonts w:hint="default" w:ascii="Times New Roman" w:hAnsi="Times New Roman" w:eastAsia="仿宋_GB2312" w:cs="Times New Roman"/>
          <w:color w:val="000000"/>
          <w:kern w:val="0"/>
          <w:sz w:val="32"/>
          <w:szCs w:val="32"/>
          <w:highlight w:val="none"/>
        </w:rPr>
      </w:pPr>
    </w:p>
    <w:p>
      <w:pPr>
        <w:adjustRightInd w:val="0"/>
        <w:snapToGrid w:val="0"/>
        <w:spacing w:line="360" w:lineRule="auto"/>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color w:val="000000"/>
          <w:kern w:val="0"/>
          <w:sz w:val="32"/>
          <w:szCs w:val="32"/>
          <w:highlight w:val="none"/>
        </w:rPr>
        <w:t>附件：《评分表》</w:t>
      </w:r>
    </w:p>
    <w:p>
      <w:pPr>
        <w:adjustRightInd w:val="0"/>
        <w:snapToGrid w:val="0"/>
        <w:spacing w:line="360" w:lineRule="auto"/>
        <w:ind w:firstLine="640" w:firstLineChars="200"/>
        <w:rPr>
          <w:rFonts w:hint="default" w:ascii="Times New Roman" w:hAnsi="Times New Roman" w:eastAsia="仿宋_GB2312" w:cs="Times New Roman"/>
          <w:sz w:val="32"/>
          <w:szCs w:val="32"/>
          <w:highlight w:val="none"/>
        </w:rPr>
        <w:sectPr>
          <w:footerReference r:id="rId3" w:type="default"/>
          <w:pgSz w:w="11906" w:h="16838"/>
          <w:pgMar w:top="1440" w:right="1800" w:bottom="1440" w:left="1800" w:header="851" w:footer="992" w:gutter="0"/>
          <w:pgNumType w:start="1"/>
          <w:cols w:space="425" w:num="1"/>
          <w:docGrid w:type="lines" w:linePitch="312" w:charSpace="0"/>
        </w:sectPr>
      </w:pPr>
    </w:p>
    <w:p>
      <w:pPr>
        <w:adjustRightInd w:val="0"/>
        <w:snapToGrid w:val="0"/>
        <w:spacing w:line="360" w:lineRule="auto"/>
        <w:ind w:firstLine="640" w:firstLineChars="200"/>
        <w:jc w:val="both"/>
        <w:outlineLvl w:val="0"/>
        <w:rPr>
          <w:rFonts w:hint="default" w:ascii="Times New Roman" w:hAnsi="Times New Roman" w:eastAsia="仿宋_GB2312" w:cs="Times New Roman"/>
          <w:sz w:val="32"/>
          <w:szCs w:val="32"/>
          <w:highlight w:val="none"/>
        </w:rPr>
      </w:pPr>
      <w:bookmarkStart w:id="21" w:name="_Toc28788"/>
      <w:r>
        <w:rPr>
          <w:rFonts w:hint="default" w:ascii="Times New Roman" w:hAnsi="Times New Roman" w:eastAsia="仿宋_GB2312" w:cs="Times New Roman"/>
          <w:sz w:val="32"/>
          <w:szCs w:val="32"/>
          <w:highlight w:val="none"/>
        </w:rPr>
        <w:t>附件：</w:t>
      </w:r>
      <w:bookmarkEnd w:id="21"/>
    </w:p>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color w:val="000000"/>
          <w:kern w:val="0"/>
          <w:sz w:val="36"/>
          <w:szCs w:val="36"/>
          <w:highlight w:val="none"/>
          <w:lang w:bidi="ar"/>
        </w:rPr>
      </w:pPr>
      <w:r>
        <w:rPr>
          <w:rFonts w:hint="default" w:ascii="Times New Roman" w:hAnsi="Times New Roman" w:eastAsia="仿宋_GB2312" w:cs="Times New Roman"/>
          <w:b/>
          <w:bCs/>
          <w:color w:val="000000"/>
          <w:kern w:val="0"/>
          <w:sz w:val="36"/>
          <w:szCs w:val="36"/>
          <w:highlight w:val="none"/>
          <w:lang w:bidi="ar"/>
        </w:rPr>
        <w:t>北京大运河博物馆（首都博物馆东馆）运维费-开放秩序维护服务</w:t>
      </w:r>
    </w:p>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color w:val="000000"/>
          <w:kern w:val="0"/>
          <w:sz w:val="36"/>
          <w:szCs w:val="36"/>
          <w:highlight w:val="none"/>
          <w:lang w:bidi="ar"/>
        </w:rPr>
        <w:t>项目支出绩效评价专家评分表</w:t>
      </w:r>
    </w:p>
    <w:tbl>
      <w:tblPr>
        <w:tblStyle w:val="11"/>
        <w:tblW w:w="0" w:type="auto"/>
        <w:tblInd w:w="0" w:type="dxa"/>
        <w:tblLayout w:type="autofit"/>
        <w:tblCellMar>
          <w:top w:w="0" w:type="dxa"/>
          <w:left w:w="108" w:type="dxa"/>
          <w:bottom w:w="0" w:type="dxa"/>
          <w:right w:w="108" w:type="dxa"/>
        </w:tblCellMar>
      </w:tblPr>
      <w:tblGrid>
        <w:gridCol w:w="1112"/>
        <w:gridCol w:w="917"/>
        <w:gridCol w:w="1058"/>
        <w:gridCol w:w="989"/>
        <w:gridCol w:w="4084"/>
        <w:gridCol w:w="1587"/>
        <w:gridCol w:w="4427"/>
      </w:tblGrid>
      <w:tr>
        <w:tblPrEx>
          <w:tblCellMar>
            <w:top w:w="0" w:type="dxa"/>
            <w:left w:w="108" w:type="dxa"/>
            <w:bottom w:w="0" w:type="dxa"/>
            <w:right w:w="108" w:type="dxa"/>
          </w:tblCellMar>
        </w:tblPrEx>
        <w:trPr>
          <w:trHeight w:val="1257" w:hRule="atLeast"/>
          <w:tblHeader/>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一级指标</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二级指标</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三级指标</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分值</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指标解释</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得分</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扣分理由</w:t>
            </w:r>
          </w:p>
        </w:tc>
      </w:tr>
      <w:tr>
        <w:tblPrEx>
          <w:tblCellMar>
            <w:top w:w="0" w:type="dxa"/>
            <w:left w:w="108" w:type="dxa"/>
            <w:bottom w:w="0" w:type="dxa"/>
            <w:right w:w="108" w:type="dxa"/>
          </w:tblCellMar>
        </w:tblPrEx>
        <w:trPr>
          <w:trHeight w:val="766"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决策（10分）</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项目立项</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立项依据充分性</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2</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项目立项是否符合法律法规、相关政策、发展规划以及部门职责，用以反映和考核项目立项依据情况</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1.98</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r>
      <w:tr>
        <w:tblPrEx>
          <w:tblCellMar>
            <w:top w:w="0" w:type="dxa"/>
            <w:left w:w="108" w:type="dxa"/>
            <w:bottom w:w="0" w:type="dxa"/>
            <w:right w:w="108" w:type="dxa"/>
          </w:tblCellMar>
        </w:tblPrEx>
        <w:trPr>
          <w:trHeight w:val="74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立项程序规范性</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1</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项目申请、设立过程是否符合相关要求，用以反映和考核项目立项的规范情况</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0.96</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可行性研究内容可进一步充实，为后续类似项目提供更全面的参考</w:t>
            </w:r>
          </w:p>
        </w:tc>
      </w:tr>
      <w:tr>
        <w:tblPrEx>
          <w:tblCellMar>
            <w:top w:w="0" w:type="dxa"/>
            <w:left w:w="108" w:type="dxa"/>
            <w:bottom w:w="0" w:type="dxa"/>
            <w:right w:w="108" w:type="dxa"/>
          </w:tblCellMar>
        </w:tblPrEx>
        <w:trPr>
          <w:trHeight w:val="89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绩效目标</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绩效目标合理性</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2</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项目所设定的绩效目标是否依据充分，是否符合客观实际，用以反映和考核项目绩效目标与项目实施的相符情况</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1.00</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社会效益指标可进一步量化，以更全面体现项目成效</w:t>
            </w:r>
          </w:p>
        </w:tc>
      </w:tr>
      <w:tr>
        <w:tblPrEx>
          <w:tblCellMar>
            <w:top w:w="0" w:type="dxa"/>
            <w:left w:w="108" w:type="dxa"/>
            <w:bottom w:w="0" w:type="dxa"/>
            <w:right w:w="108" w:type="dxa"/>
          </w:tblCellMar>
        </w:tblPrEx>
        <w:trPr>
          <w:trHeight w:val="77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绩效指标明确性</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2</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依据绩效目标设定的绩效指标是否清晰、细化、可衡量等，用以反映和考核项目绩效目标的明细化情况</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1.5</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部分质量指标如出勤率、人员稳定性等可进一步细化衡量标准</w:t>
            </w:r>
          </w:p>
        </w:tc>
      </w:tr>
      <w:tr>
        <w:tblPrEx>
          <w:tblCellMar>
            <w:top w:w="0" w:type="dxa"/>
            <w:left w:w="108" w:type="dxa"/>
            <w:bottom w:w="0" w:type="dxa"/>
            <w:right w:w="108" w:type="dxa"/>
          </w:tblCellMar>
        </w:tblPrEx>
        <w:trPr>
          <w:trHeight w:val="77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资金投入</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预算编制科学性</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2</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项目预算编制是否经过科学论证、有明确标准，资金额度与年度目标是否相适应，用以反映和考核项目预算编制的科学性、合理性情况</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1</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建议进一步增强预算与实际服务需求之间的匹配精度</w:t>
            </w:r>
          </w:p>
        </w:tc>
      </w:tr>
      <w:tr>
        <w:tblPrEx>
          <w:tblCellMar>
            <w:top w:w="0" w:type="dxa"/>
            <w:left w:w="108" w:type="dxa"/>
            <w:bottom w:w="0" w:type="dxa"/>
            <w:right w:w="108" w:type="dxa"/>
          </w:tblCellMar>
        </w:tblPrEx>
        <w:trPr>
          <w:trHeight w:val="1066"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资金分配合理性</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1</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项目预算资金分配是否有测算依据，与补助单位或地方实际是否相适应，用以反映和考核项目预算资金分配的科学性、合理性情况</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0.5</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预算编制可更多参考上年执行情况，提升延续性和准确性</w:t>
            </w:r>
          </w:p>
        </w:tc>
      </w:tr>
      <w:tr>
        <w:tblPrEx>
          <w:tblCellMar>
            <w:top w:w="0" w:type="dxa"/>
            <w:left w:w="108" w:type="dxa"/>
            <w:bottom w:w="0" w:type="dxa"/>
            <w:right w:w="108" w:type="dxa"/>
          </w:tblCellMar>
        </w:tblPrEx>
        <w:trPr>
          <w:trHeight w:val="734"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过程（20分）</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资金管理</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资金到位率</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2</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实际到位资金与预算资金的比率，用以反映和考核资金落实情况对项目实施的总体保障程度</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2</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left"/>
              <w:rPr>
                <w:rFonts w:hint="default" w:ascii="Times New Roman" w:hAnsi="Times New Roman" w:eastAsia="宋体" w:cs="Times New Roman"/>
                <w:color w:val="000000"/>
                <w:szCs w:val="21"/>
                <w:highlight w:val="none"/>
              </w:rPr>
            </w:pPr>
          </w:p>
        </w:tc>
      </w:tr>
      <w:tr>
        <w:tblPrEx>
          <w:tblCellMar>
            <w:top w:w="0" w:type="dxa"/>
            <w:left w:w="108" w:type="dxa"/>
            <w:bottom w:w="0" w:type="dxa"/>
            <w:right w:w="108" w:type="dxa"/>
          </w:tblCellMar>
        </w:tblPrEx>
        <w:trPr>
          <w:trHeight w:val="747"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预算执行率</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3</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项目预算资金是否按照计划执行，用以反映或考核项目预算执行情况</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3</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left"/>
              <w:rPr>
                <w:rFonts w:hint="default" w:ascii="Times New Roman" w:hAnsi="Times New Roman" w:eastAsia="宋体" w:cs="Times New Roman"/>
                <w:color w:val="000000"/>
                <w:szCs w:val="21"/>
                <w:highlight w:val="none"/>
              </w:rPr>
            </w:pPr>
          </w:p>
        </w:tc>
      </w:tr>
      <w:tr>
        <w:tblPrEx>
          <w:tblCellMar>
            <w:top w:w="0" w:type="dxa"/>
            <w:left w:w="108" w:type="dxa"/>
            <w:bottom w:w="0" w:type="dxa"/>
            <w:right w:w="108" w:type="dxa"/>
          </w:tblCellMar>
        </w:tblPrEx>
        <w:trPr>
          <w:trHeight w:val="759"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资金使用合规性</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5</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项目资金使用是否符合相关的财务管理制度规定，用以反映和考核项目资金的规范运行情况</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2.96</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建议进一步优化服务期限与费用结算之间的衔接机制</w:t>
            </w:r>
          </w:p>
        </w:tc>
      </w:tr>
      <w:tr>
        <w:tblPrEx>
          <w:tblCellMar>
            <w:top w:w="0" w:type="dxa"/>
            <w:left w:w="108" w:type="dxa"/>
            <w:bottom w:w="0" w:type="dxa"/>
            <w:right w:w="108" w:type="dxa"/>
          </w:tblCellMar>
        </w:tblPrEx>
        <w:trPr>
          <w:trHeight w:val="63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组织实施</w:t>
            </w:r>
          </w:p>
        </w:tc>
        <w:tc>
          <w:tcPr>
            <w:tcW w:w="10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管理制度健全性</w:t>
            </w:r>
          </w:p>
        </w:tc>
        <w:tc>
          <w:tcPr>
            <w:tcW w:w="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5</w:t>
            </w:r>
          </w:p>
        </w:tc>
        <w:tc>
          <w:tcPr>
            <w:tcW w:w="408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项目实施单位的财务和业务管理制度是否健全，用以反映和考核财务和业务管理制度对项目顺利实施的保障情况</w:t>
            </w:r>
          </w:p>
        </w:tc>
        <w:tc>
          <w:tcPr>
            <w:tcW w:w="158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3</w:t>
            </w:r>
          </w:p>
        </w:tc>
        <w:tc>
          <w:tcPr>
            <w:tcW w:w="442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项目实施方案内容可进一步补充完善，如组织架构与进度安排等</w:t>
            </w:r>
          </w:p>
        </w:tc>
      </w:tr>
      <w:tr>
        <w:tblPrEx>
          <w:tblCellMar>
            <w:top w:w="0" w:type="dxa"/>
            <w:left w:w="108" w:type="dxa"/>
            <w:bottom w:w="0" w:type="dxa"/>
            <w:right w:w="108" w:type="dxa"/>
          </w:tblCellMar>
        </w:tblPrEx>
        <w:trPr>
          <w:trHeight w:val="314"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10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408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left"/>
              <w:rPr>
                <w:rFonts w:hint="default" w:ascii="Times New Roman" w:hAnsi="Times New Roman" w:eastAsia="宋体" w:cs="Times New Roman"/>
                <w:color w:val="000000"/>
                <w:szCs w:val="21"/>
                <w:highlight w:val="none"/>
              </w:rPr>
            </w:pPr>
          </w:p>
        </w:tc>
        <w:tc>
          <w:tcPr>
            <w:tcW w:w="158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 w:val="20"/>
                <w:szCs w:val="20"/>
                <w:highlight w:val="none"/>
              </w:rPr>
            </w:pPr>
          </w:p>
        </w:tc>
        <w:tc>
          <w:tcPr>
            <w:tcW w:w="442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left"/>
              <w:rPr>
                <w:rFonts w:hint="default" w:ascii="Times New Roman" w:hAnsi="Times New Roman" w:eastAsia="宋体" w:cs="Times New Roman"/>
                <w:color w:val="000000"/>
                <w:szCs w:val="21"/>
                <w:highlight w:val="none"/>
              </w:rPr>
            </w:pPr>
          </w:p>
        </w:tc>
      </w:tr>
      <w:tr>
        <w:tblPrEx>
          <w:tblCellMar>
            <w:top w:w="0" w:type="dxa"/>
            <w:left w:w="108" w:type="dxa"/>
            <w:bottom w:w="0" w:type="dxa"/>
            <w:right w:w="108" w:type="dxa"/>
          </w:tblCellMar>
        </w:tblPrEx>
        <w:trPr>
          <w:trHeight w:val="522"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制度执行有效性</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5</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项目实施是否符合相关管理规定，用以反映和考核相关管理制度的有效执行情况</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1.96</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监督检查机制可进一步常态化、系统化，丰富管理记录内容</w:t>
            </w:r>
          </w:p>
        </w:tc>
      </w:tr>
      <w:tr>
        <w:tblPrEx>
          <w:tblCellMar>
            <w:top w:w="0" w:type="dxa"/>
            <w:left w:w="108" w:type="dxa"/>
            <w:bottom w:w="0" w:type="dxa"/>
            <w:right w:w="108" w:type="dxa"/>
          </w:tblCellMar>
        </w:tblPrEx>
        <w:trPr>
          <w:trHeight w:val="872"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产出（40分）</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产出数量</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实际完成率</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10</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项目实施的实际产出数与计划产出数的比率，用以反映和考核项目产出数量目标的实现程度</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9.1</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建议进一步强化人员调度与补充机制</w:t>
            </w:r>
          </w:p>
        </w:tc>
      </w:tr>
      <w:tr>
        <w:tblPrEx>
          <w:tblCellMar>
            <w:top w:w="0" w:type="dxa"/>
            <w:left w:w="108" w:type="dxa"/>
            <w:bottom w:w="0" w:type="dxa"/>
            <w:right w:w="108" w:type="dxa"/>
          </w:tblCellMar>
        </w:tblPrEx>
        <w:trPr>
          <w:trHeight w:val="850"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产出质量</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质量达标率</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10</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项目完成的质量达标产出数与实际产出数的比率，用以反映和考核项目产出质量目标的实现程度</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8.9</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both"/>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过程监督检查记录可进一步完善备查</w:t>
            </w:r>
            <w:r>
              <w:rPr>
                <w:rFonts w:hint="eastAsia" w:ascii="Times New Roman" w:hAnsi="Times New Roman" w:eastAsia="宋体" w:cs="Times New Roman"/>
                <w:color w:val="000000"/>
                <w:kern w:val="0"/>
                <w:szCs w:val="21"/>
                <w:highlight w:val="none"/>
                <w:lang w:eastAsia="zh-CN" w:bidi="ar"/>
              </w:rPr>
              <w:t>，</w:t>
            </w:r>
            <w:r>
              <w:rPr>
                <w:rFonts w:hint="default" w:ascii="Times New Roman" w:hAnsi="Times New Roman" w:eastAsia="宋体" w:cs="Times New Roman"/>
                <w:color w:val="000000"/>
                <w:kern w:val="0"/>
                <w:szCs w:val="21"/>
                <w:highlight w:val="none"/>
                <w:lang w:bidi="ar"/>
              </w:rPr>
              <w:t>加强日常人员动态管理</w:t>
            </w:r>
          </w:p>
        </w:tc>
      </w:tr>
      <w:tr>
        <w:tblPrEx>
          <w:tblCellMar>
            <w:top w:w="0" w:type="dxa"/>
            <w:left w:w="108" w:type="dxa"/>
            <w:bottom w:w="0" w:type="dxa"/>
            <w:right w:w="108" w:type="dxa"/>
          </w:tblCellMar>
        </w:tblPrEx>
        <w:trPr>
          <w:trHeight w:val="941"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产出时效</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完成及时性</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10</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项目实际完成时间与计划完成时间的比较，用以反映和考核项目产出时效目标的实现程度。</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8.9</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both"/>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项目实施方案</w:t>
            </w:r>
            <w:r>
              <w:rPr>
                <w:rFonts w:hint="eastAsia" w:ascii="Times New Roman" w:hAnsi="Times New Roman" w:eastAsia="宋体" w:cs="Times New Roman"/>
                <w:color w:val="000000"/>
                <w:kern w:val="0"/>
                <w:szCs w:val="21"/>
                <w:highlight w:val="none"/>
                <w:lang w:val="en-US" w:eastAsia="zh-CN" w:bidi="ar"/>
              </w:rPr>
              <w:t>需进一步完善</w:t>
            </w:r>
          </w:p>
        </w:tc>
      </w:tr>
      <w:tr>
        <w:tblPrEx>
          <w:tblCellMar>
            <w:top w:w="0" w:type="dxa"/>
            <w:left w:w="108" w:type="dxa"/>
            <w:bottom w:w="0" w:type="dxa"/>
            <w:right w:w="108" w:type="dxa"/>
          </w:tblCellMar>
        </w:tblPrEx>
        <w:trPr>
          <w:trHeight w:val="785"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产出成本</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成本节约率</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10</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完成项目计划工作目标的实际节约成本与计划成本的比率，用以反映和考核项目的成本节约程度</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8.8</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both"/>
              <w:textAlignment w:val="center"/>
              <w:rPr>
                <w:rFonts w:hint="default" w:ascii="Times New Roman" w:hAnsi="Times New Roman" w:eastAsia="宋体" w:cs="Times New Roman"/>
                <w:color w:val="000000"/>
                <w:szCs w:val="21"/>
                <w:highlight w:val="none"/>
              </w:rPr>
            </w:pPr>
            <w:r>
              <w:rPr>
                <w:rFonts w:hint="eastAsia" w:ascii="Times New Roman" w:hAnsi="Times New Roman" w:eastAsia="宋体" w:cs="Times New Roman"/>
                <w:color w:val="000000"/>
                <w:kern w:val="0"/>
                <w:szCs w:val="21"/>
                <w:highlight w:val="none"/>
                <w:lang w:val="en-US" w:eastAsia="zh-CN" w:bidi="ar"/>
              </w:rPr>
              <w:t>可进一步优化</w:t>
            </w:r>
            <w:r>
              <w:rPr>
                <w:rFonts w:hint="default" w:ascii="Times New Roman" w:hAnsi="Times New Roman" w:eastAsia="宋体" w:cs="Times New Roman"/>
                <w:color w:val="000000"/>
                <w:kern w:val="0"/>
                <w:szCs w:val="21"/>
                <w:highlight w:val="none"/>
                <w:lang w:bidi="ar"/>
              </w:rPr>
              <w:t>成本控制措施</w:t>
            </w:r>
          </w:p>
        </w:tc>
      </w:tr>
      <w:tr>
        <w:tblPrEx>
          <w:tblCellMar>
            <w:top w:w="0" w:type="dxa"/>
            <w:left w:w="108" w:type="dxa"/>
            <w:bottom w:w="0" w:type="dxa"/>
            <w:right w:w="108" w:type="dxa"/>
          </w:tblCellMar>
        </w:tblPrEx>
        <w:trPr>
          <w:trHeight w:val="638" w:hRule="atLeast"/>
        </w:trPr>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效益（20分）</w:t>
            </w:r>
          </w:p>
        </w:tc>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项目效益</w:t>
            </w:r>
          </w:p>
        </w:tc>
        <w:tc>
          <w:tcPr>
            <w:tcW w:w="105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实施效益</w:t>
            </w:r>
          </w:p>
        </w:tc>
        <w:tc>
          <w:tcPr>
            <w:tcW w:w="9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20</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项目实施对保证东馆正常开放运营的实现情况</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kern w:val="0"/>
                <w:szCs w:val="21"/>
                <w:highlight w:val="none"/>
                <w:lang w:bidi="ar"/>
              </w:rPr>
            </w:pPr>
            <w:r>
              <w:rPr>
                <w:rFonts w:hint="default" w:ascii="Times New Roman" w:hAnsi="Times New Roman" w:eastAsia="宋体" w:cs="Times New Roman"/>
                <w:color w:val="000000"/>
                <w:kern w:val="0"/>
                <w:szCs w:val="21"/>
                <w:highlight w:val="none"/>
                <w:lang w:bidi="ar"/>
              </w:rPr>
              <w:t>8.6</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both"/>
              <w:textAlignment w:val="center"/>
              <w:rPr>
                <w:rFonts w:hint="default" w:ascii="Times New Roman" w:hAnsi="Times New Roman" w:eastAsia="宋体" w:cs="Times New Roman"/>
                <w:color w:val="000000"/>
                <w:kern w:val="0"/>
                <w:szCs w:val="21"/>
                <w:highlight w:val="none"/>
                <w:lang w:bidi="ar"/>
              </w:rPr>
            </w:pPr>
            <w:r>
              <w:rPr>
                <w:rFonts w:hint="default" w:ascii="Times New Roman" w:hAnsi="Times New Roman" w:eastAsia="宋体" w:cs="Times New Roman"/>
                <w:color w:val="000000"/>
                <w:kern w:val="0"/>
                <w:szCs w:val="21"/>
                <w:highlight w:val="none"/>
                <w:lang w:bidi="ar"/>
              </w:rPr>
              <w:t>效益支撑材料可进一步丰富，增强评价依据的全面性</w:t>
            </w:r>
          </w:p>
        </w:tc>
      </w:tr>
      <w:tr>
        <w:tblPrEx>
          <w:tblCellMar>
            <w:top w:w="0" w:type="dxa"/>
            <w:left w:w="108" w:type="dxa"/>
            <w:bottom w:w="0" w:type="dxa"/>
            <w:right w:w="108" w:type="dxa"/>
          </w:tblCellMar>
        </w:tblPrEx>
        <w:trPr>
          <w:trHeight w:val="618" w:hRule="atLeast"/>
        </w:trPr>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105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9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color w:val="000000"/>
                <w:szCs w:val="21"/>
                <w:highlight w:val="none"/>
              </w:rPr>
            </w:pP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服务保障年限情况</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8.8</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both"/>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可持续影响评估维度可进一步拓展，更全面反映项目长期效果</w:t>
            </w:r>
          </w:p>
        </w:tc>
      </w:tr>
      <w:tr>
        <w:tblPrEx>
          <w:tblCellMar>
            <w:top w:w="0" w:type="dxa"/>
            <w:left w:w="108" w:type="dxa"/>
            <w:bottom w:w="0" w:type="dxa"/>
            <w:right w:w="108" w:type="dxa"/>
          </w:tblCellMar>
        </w:tblPrEx>
        <w:trPr>
          <w:trHeight w:val="1257"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满意度（10分）</w:t>
            </w:r>
          </w:p>
        </w:tc>
        <w:tc>
          <w:tcPr>
            <w:tcW w:w="91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满意度</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满意度</w:t>
            </w: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10</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left"/>
              <w:textAlignment w:val="center"/>
              <w:rPr>
                <w:rFonts w:hint="default" w:ascii="Times New Roman" w:hAnsi="Times New Roman" w:eastAsia="宋体" w:cs="Times New Roman"/>
                <w:color w:val="000000"/>
                <w:szCs w:val="21"/>
                <w:highlight w:val="none"/>
              </w:rPr>
            </w:pPr>
            <w:r>
              <w:rPr>
                <w:rFonts w:hint="default" w:ascii="Times New Roman" w:hAnsi="Times New Roman" w:eastAsia="宋体" w:cs="Times New Roman"/>
                <w:color w:val="000000"/>
                <w:kern w:val="0"/>
                <w:szCs w:val="21"/>
                <w:highlight w:val="none"/>
                <w:lang w:bidi="ar"/>
              </w:rPr>
              <w:t>管理者对其服务质量满意度情况</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color w:val="000000"/>
                <w:sz w:val="20"/>
                <w:szCs w:val="20"/>
                <w:highlight w:val="none"/>
              </w:rPr>
            </w:pPr>
            <w:r>
              <w:rPr>
                <w:rFonts w:hint="default" w:ascii="Times New Roman" w:hAnsi="Times New Roman" w:eastAsia="宋体" w:cs="Times New Roman"/>
                <w:color w:val="000000"/>
                <w:kern w:val="0"/>
                <w:sz w:val="20"/>
                <w:szCs w:val="20"/>
                <w:highlight w:val="none"/>
                <w:lang w:bidi="ar"/>
              </w:rPr>
              <w:t>8.2</w:t>
            </w:r>
          </w:p>
        </w:tc>
        <w:tc>
          <w:tcPr>
            <w:tcW w:w="442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both"/>
              <w:textAlignment w:val="center"/>
              <w:rPr>
                <w:rFonts w:hint="default" w:ascii="Times New Roman" w:hAnsi="Times New Roman" w:eastAsia="宋体" w:cs="Times New Roman"/>
                <w:color w:val="000000"/>
                <w:szCs w:val="21"/>
                <w:highlight w:val="none"/>
              </w:rPr>
            </w:pPr>
            <w:r>
              <w:rPr>
                <w:rFonts w:hint="eastAsia" w:ascii="Times New Roman" w:hAnsi="Times New Roman" w:eastAsia="宋体" w:cs="Times New Roman"/>
                <w:color w:val="000000"/>
                <w:kern w:val="0"/>
                <w:szCs w:val="21"/>
                <w:highlight w:val="none"/>
                <w:lang w:val="en-US" w:eastAsia="zh-CN" w:bidi="ar"/>
              </w:rPr>
              <w:t>服</w:t>
            </w:r>
            <w:r>
              <w:rPr>
                <w:rFonts w:hint="default" w:ascii="Times New Roman" w:hAnsi="Times New Roman" w:eastAsia="宋体" w:cs="Times New Roman"/>
                <w:color w:val="000000"/>
                <w:kern w:val="0"/>
                <w:szCs w:val="21"/>
                <w:highlight w:val="none"/>
                <w:lang w:bidi="ar"/>
              </w:rPr>
              <w:t>务对象可更精准定位，可考虑引入公众满意度指标</w:t>
            </w:r>
          </w:p>
        </w:tc>
      </w:tr>
      <w:tr>
        <w:tblPrEx>
          <w:tblCellMar>
            <w:top w:w="0" w:type="dxa"/>
            <w:left w:w="108" w:type="dxa"/>
            <w:bottom w:w="0" w:type="dxa"/>
            <w:right w:w="108" w:type="dxa"/>
          </w:tblCellMar>
        </w:tblPrEx>
        <w:trPr>
          <w:trHeight w:val="658" w:hRule="atLeast"/>
        </w:trPr>
        <w:tc>
          <w:tcPr>
            <w:tcW w:w="20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合计</w:t>
            </w:r>
          </w:p>
        </w:tc>
        <w:tc>
          <w:tcPr>
            <w:tcW w:w="105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center"/>
              <w:rPr>
                <w:rFonts w:hint="default" w:ascii="Times New Roman" w:hAnsi="Times New Roman" w:eastAsia="宋体" w:cs="Times New Roman"/>
                <w:b/>
                <w:bCs/>
                <w:color w:val="000000"/>
                <w:szCs w:val="21"/>
                <w:highlight w:val="none"/>
              </w:rPr>
            </w:pPr>
          </w:p>
        </w:tc>
        <w:tc>
          <w:tcPr>
            <w:tcW w:w="9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100</w:t>
            </w:r>
          </w:p>
        </w:tc>
        <w:tc>
          <w:tcPr>
            <w:tcW w:w="408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val="0"/>
              <w:snapToGrid w:val="0"/>
              <w:jc w:val="left"/>
              <w:rPr>
                <w:rFonts w:hint="default" w:ascii="Times New Roman" w:hAnsi="Times New Roman" w:eastAsia="宋体" w:cs="Times New Roman"/>
                <w:b/>
                <w:bCs/>
                <w:color w:val="000000"/>
                <w:szCs w:val="21"/>
                <w:highlight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jc w:val="center"/>
              <w:textAlignment w:val="center"/>
              <w:rPr>
                <w:rFonts w:hint="default" w:ascii="Times New Roman" w:hAnsi="Times New Roman" w:eastAsia="宋体" w:cs="Times New Roman"/>
                <w:b/>
                <w:bCs/>
                <w:color w:val="000000"/>
                <w:szCs w:val="21"/>
                <w:highlight w:val="none"/>
              </w:rPr>
            </w:pPr>
            <w:r>
              <w:rPr>
                <w:rFonts w:hint="default" w:ascii="Times New Roman" w:hAnsi="Times New Roman" w:eastAsia="宋体" w:cs="Times New Roman"/>
                <w:b/>
                <w:bCs/>
                <w:color w:val="000000"/>
                <w:kern w:val="0"/>
                <w:szCs w:val="21"/>
                <w:highlight w:val="none"/>
                <w:lang w:bidi="ar"/>
              </w:rPr>
              <w:t>81.16</w:t>
            </w:r>
          </w:p>
        </w:tc>
        <w:tc>
          <w:tcPr>
            <w:tcW w:w="442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pageBreakBefore w:val="0"/>
              <w:kinsoku/>
              <w:wordWrap/>
              <w:overflowPunct/>
              <w:topLinePunct w:val="0"/>
              <w:autoSpaceDE/>
              <w:autoSpaceDN/>
              <w:bidi w:val="0"/>
              <w:adjustRightInd w:val="0"/>
              <w:snapToGrid w:val="0"/>
              <w:rPr>
                <w:rFonts w:hint="default" w:ascii="Times New Roman" w:hAnsi="Times New Roman" w:eastAsia="宋体" w:cs="Times New Roman"/>
                <w:color w:val="000000"/>
                <w:sz w:val="22"/>
                <w:szCs w:val="22"/>
                <w:highlight w:val="none"/>
              </w:rPr>
            </w:pPr>
          </w:p>
        </w:tc>
      </w:tr>
    </w:tbl>
    <w:p>
      <w:pPr>
        <w:keepNext w:val="0"/>
        <w:keepLines w:val="0"/>
        <w:pageBreakBefore w:val="0"/>
        <w:kinsoku/>
        <w:wordWrap/>
        <w:overflowPunct/>
        <w:topLinePunct w:val="0"/>
        <w:autoSpaceDE/>
        <w:autoSpaceDN/>
        <w:bidi w:val="0"/>
        <w:adjustRightInd w:val="0"/>
        <w:snapToGrid w:val="0"/>
        <w:rPr>
          <w:rFonts w:hint="default" w:ascii="Times New Roman" w:hAnsi="Times New Roman" w:eastAsia="仿宋_GB2312" w:cs="Times New Roman"/>
          <w:sz w:val="32"/>
          <w:szCs w:val="32"/>
          <w:highlight w:val="none"/>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CESI仿宋-GB2312">
    <w:panose1 w:val="02000500000000000000"/>
    <w:charset w:val="86"/>
    <w:family w:val="auto"/>
    <w:pitch w:val="default"/>
    <w:sig w:usb0="800002AF" w:usb1="084F6CF8"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FB0ADB"/>
    <w:rsid w:val="000D6052"/>
    <w:rsid w:val="001036BE"/>
    <w:rsid w:val="001D0287"/>
    <w:rsid w:val="0020079D"/>
    <w:rsid w:val="002A2A98"/>
    <w:rsid w:val="004A219F"/>
    <w:rsid w:val="0056187A"/>
    <w:rsid w:val="005C4C1C"/>
    <w:rsid w:val="00883C2C"/>
    <w:rsid w:val="00C46DC6"/>
    <w:rsid w:val="00C71766"/>
    <w:rsid w:val="00C93CA7"/>
    <w:rsid w:val="00CF6D28"/>
    <w:rsid w:val="00D679A9"/>
    <w:rsid w:val="00EB640D"/>
    <w:rsid w:val="00F22BF5"/>
    <w:rsid w:val="00F90E46"/>
    <w:rsid w:val="00FA6CBE"/>
    <w:rsid w:val="0E500807"/>
    <w:rsid w:val="100B2A7B"/>
    <w:rsid w:val="13A77246"/>
    <w:rsid w:val="14173F48"/>
    <w:rsid w:val="141D646A"/>
    <w:rsid w:val="1776488C"/>
    <w:rsid w:val="19FF3896"/>
    <w:rsid w:val="1F6DBD48"/>
    <w:rsid w:val="203F577A"/>
    <w:rsid w:val="27550C88"/>
    <w:rsid w:val="2BE99206"/>
    <w:rsid w:val="2D3BD236"/>
    <w:rsid w:val="2EED7B71"/>
    <w:rsid w:val="2EEE0682"/>
    <w:rsid w:val="35BFFB95"/>
    <w:rsid w:val="37FFD867"/>
    <w:rsid w:val="386F0B45"/>
    <w:rsid w:val="3AFC5A1B"/>
    <w:rsid w:val="3DBDF2F9"/>
    <w:rsid w:val="3EBBC4E1"/>
    <w:rsid w:val="3EED33DE"/>
    <w:rsid w:val="3F2D5E2C"/>
    <w:rsid w:val="3F5138CC"/>
    <w:rsid w:val="3F95A73E"/>
    <w:rsid w:val="3FB44B9B"/>
    <w:rsid w:val="40F3378E"/>
    <w:rsid w:val="4143043D"/>
    <w:rsid w:val="41E4636B"/>
    <w:rsid w:val="446B3DCC"/>
    <w:rsid w:val="4DDE01CE"/>
    <w:rsid w:val="4F5C7938"/>
    <w:rsid w:val="4F7F4CEB"/>
    <w:rsid w:val="4FF650B9"/>
    <w:rsid w:val="51BF940D"/>
    <w:rsid w:val="527D1B66"/>
    <w:rsid w:val="55F9C191"/>
    <w:rsid w:val="567FC147"/>
    <w:rsid w:val="57FBFFA4"/>
    <w:rsid w:val="5AC67AF9"/>
    <w:rsid w:val="5BBF4A3A"/>
    <w:rsid w:val="5BFB0ADB"/>
    <w:rsid w:val="5C3D4A3B"/>
    <w:rsid w:val="5C7BB8AB"/>
    <w:rsid w:val="5D3EBB6A"/>
    <w:rsid w:val="5EC30D18"/>
    <w:rsid w:val="5FDFC53B"/>
    <w:rsid w:val="61AC7DCD"/>
    <w:rsid w:val="62B17AA8"/>
    <w:rsid w:val="62B84D17"/>
    <w:rsid w:val="67FFFF3C"/>
    <w:rsid w:val="6D3E2084"/>
    <w:rsid w:val="6FCF451F"/>
    <w:rsid w:val="707F7A29"/>
    <w:rsid w:val="71D91CC0"/>
    <w:rsid w:val="757D95C1"/>
    <w:rsid w:val="77380999"/>
    <w:rsid w:val="775EDCE0"/>
    <w:rsid w:val="778EA917"/>
    <w:rsid w:val="779ECE80"/>
    <w:rsid w:val="77F756E4"/>
    <w:rsid w:val="79B75A93"/>
    <w:rsid w:val="79D56B3B"/>
    <w:rsid w:val="7A4C23C8"/>
    <w:rsid w:val="7C8F4642"/>
    <w:rsid w:val="7D7FC30E"/>
    <w:rsid w:val="7DE45FA8"/>
    <w:rsid w:val="7DFE52FC"/>
    <w:rsid w:val="7DFF84CF"/>
    <w:rsid w:val="7E36832D"/>
    <w:rsid w:val="7ED7A12E"/>
    <w:rsid w:val="7FBB460F"/>
    <w:rsid w:val="7FD708D3"/>
    <w:rsid w:val="7FDBBF20"/>
    <w:rsid w:val="7FF9E431"/>
    <w:rsid w:val="7FFF12DA"/>
    <w:rsid w:val="7FFF4546"/>
    <w:rsid w:val="7FFF75DF"/>
    <w:rsid w:val="90456F32"/>
    <w:rsid w:val="9B3B75CC"/>
    <w:rsid w:val="9D7BCE17"/>
    <w:rsid w:val="9FB94871"/>
    <w:rsid w:val="9FEF326E"/>
    <w:rsid w:val="9FF9978A"/>
    <w:rsid w:val="ABFBA600"/>
    <w:rsid w:val="AFDC20F4"/>
    <w:rsid w:val="B2EB70E7"/>
    <w:rsid w:val="B8FFB984"/>
    <w:rsid w:val="BABAF69D"/>
    <w:rsid w:val="BADFA6B9"/>
    <w:rsid w:val="BAFB3087"/>
    <w:rsid w:val="BCDD3A0A"/>
    <w:rsid w:val="BEFFC5E9"/>
    <w:rsid w:val="BF162B55"/>
    <w:rsid w:val="BF4F51BF"/>
    <w:rsid w:val="BFFBE78B"/>
    <w:rsid w:val="CA566716"/>
    <w:rsid w:val="CE7FAF56"/>
    <w:rsid w:val="D7DF5369"/>
    <w:rsid w:val="DF3F40DB"/>
    <w:rsid w:val="DF4BD2F5"/>
    <w:rsid w:val="DF9E6305"/>
    <w:rsid w:val="DFE65B38"/>
    <w:rsid w:val="E3C6944A"/>
    <w:rsid w:val="E3D70F72"/>
    <w:rsid w:val="E5F8BBE5"/>
    <w:rsid w:val="ECFF44C2"/>
    <w:rsid w:val="EDF6321D"/>
    <w:rsid w:val="EFBF9B79"/>
    <w:rsid w:val="EFF1DC9B"/>
    <w:rsid w:val="EFF1DF55"/>
    <w:rsid w:val="EFF3216B"/>
    <w:rsid w:val="EFFAC3EE"/>
    <w:rsid w:val="F1F6FA2D"/>
    <w:rsid w:val="F52DAF4A"/>
    <w:rsid w:val="F5BBE483"/>
    <w:rsid w:val="F77BE9BE"/>
    <w:rsid w:val="F799C4B5"/>
    <w:rsid w:val="F9A36E48"/>
    <w:rsid w:val="FAEE84DE"/>
    <w:rsid w:val="FBEB2102"/>
    <w:rsid w:val="FCAF6F09"/>
    <w:rsid w:val="FCFE750F"/>
    <w:rsid w:val="FCFF4B05"/>
    <w:rsid w:val="FD6F2A26"/>
    <w:rsid w:val="FEB7D09D"/>
    <w:rsid w:val="FF5E2130"/>
    <w:rsid w:val="FFB3C6FF"/>
    <w:rsid w:val="FFB5452C"/>
    <w:rsid w:val="FFB78C46"/>
    <w:rsid w:val="FFEB1DA6"/>
    <w:rsid w:val="FFEFC72E"/>
    <w:rsid w:val="FFFE106D"/>
    <w:rsid w:val="FFFF4F4E"/>
    <w:rsid w:val="FFFFA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semiHidden/>
    <w:unhideWhenUsed/>
    <w:qFormat/>
    <w:uiPriority w:val="0"/>
    <w:pPr>
      <w:spacing w:beforeAutospacing="1" w:afterAutospacing="1"/>
      <w:jc w:val="left"/>
      <w:outlineLvl w:val="3"/>
    </w:pPr>
    <w:rPr>
      <w:rFonts w:hint="eastAsia" w:ascii="宋体" w:hAnsi="宋体" w:eastAsia="宋体" w:cs="Times New Roman"/>
      <w:b/>
      <w:bCs/>
      <w:kern w:val="0"/>
      <w:sz w:val="24"/>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2">
    <w:name w:val="footer"/>
    <w:basedOn w:val="1"/>
    <w:next w:val="1"/>
    <w:qFormat/>
    <w:uiPriority w:val="99"/>
    <w:pPr>
      <w:tabs>
        <w:tab w:val="center" w:pos="4153"/>
        <w:tab w:val="right" w:pos="8306"/>
      </w:tabs>
      <w:snapToGrid w:val="0"/>
      <w:jc w:val="left"/>
    </w:pPr>
    <w:rPr>
      <w:kern w:val="0"/>
      <w:sz w:val="18"/>
      <w:szCs w:val="18"/>
    </w:rPr>
  </w:style>
  <w:style w:type="paragraph" w:styleId="4">
    <w:name w:val="Normal Indent"/>
    <w:basedOn w:val="1"/>
    <w:qFormat/>
    <w:uiPriority w:val="0"/>
    <w:pPr>
      <w:ind w:firstLine="420"/>
    </w:pPr>
    <w:rPr>
      <w:szCs w:val="20"/>
    </w:rPr>
  </w:style>
  <w:style w:type="paragraph" w:styleId="5">
    <w:name w:val="Body Text Indent"/>
    <w:basedOn w:val="1"/>
    <w:qFormat/>
    <w:uiPriority w:val="0"/>
    <w:pPr>
      <w:ind w:firstLine="560" w:firstLineChars="200"/>
    </w:pPr>
    <w:rPr>
      <w:rFonts w:ascii="仿宋_GB2312" w:eastAsia="仿宋_GB2312"/>
      <w:sz w:val="28"/>
      <w:szCs w:val="32"/>
    </w:rPr>
  </w:style>
  <w:style w:type="paragraph" w:styleId="6">
    <w:name w:val="Body Text Indent 2"/>
    <w:basedOn w:val="1"/>
    <w:qFormat/>
    <w:uiPriority w:val="0"/>
    <w:pPr>
      <w:spacing w:after="120" w:line="480" w:lineRule="auto"/>
      <w:ind w:left="420" w:leftChars="200"/>
    </w:pPr>
    <w:rPr>
      <w:kern w:val="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toc 1"/>
    <w:basedOn w:val="1"/>
    <w:next w:val="1"/>
    <w:qFormat/>
    <w:uiPriority w:val="0"/>
  </w:style>
  <w:style w:type="paragraph" w:styleId="9">
    <w:name w:val="toc 2"/>
    <w:basedOn w:val="1"/>
    <w:next w:val="1"/>
    <w:qFormat/>
    <w:uiPriority w:val="0"/>
    <w:pPr>
      <w:ind w:left="420" w:leftChars="200"/>
    </w:pPr>
  </w:style>
  <w:style w:type="paragraph" w:styleId="10">
    <w:name w:val="Body Text First Indent 2"/>
    <w:basedOn w:val="5"/>
    <w:unhideWhenUsed/>
    <w:qFormat/>
    <w:uiPriority w:val="99"/>
    <w:pPr>
      <w:ind w:firstLine="420"/>
    </w:pPr>
    <w:rPr>
      <w:sz w:val="21"/>
      <w:szCs w:val="22"/>
    </w:rPr>
  </w:style>
  <w:style w:type="character" w:styleId="13">
    <w:name w:val="Strong"/>
    <w:basedOn w:val="12"/>
    <w:qFormat/>
    <w:uiPriority w:val="0"/>
    <w:rPr>
      <w:b/>
    </w:rPr>
  </w:style>
  <w:style w:type="paragraph" w:customStyle="1" w:styleId="14">
    <w:name w:val="修订1"/>
    <w:hidden/>
    <w:unhideWhenUsed/>
    <w:qFormat/>
    <w:uiPriority w:val="99"/>
    <w:rPr>
      <w:rFonts w:asciiTheme="minorHAnsi" w:hAnsiTheme="minorHAnsi" w:eastAsiaTheme="minorEastAsia" w:cstheme="minorBidi"/>
      <w:kern w:val="2"/>
      <w:sz w:val="21"/>
      <w:szCs w:val="24"/>
      <w:lang w:val="en-US" w:eastAsia="zh-CN" w:bidi="ar-SA"/>
    </w:rPr>
  </w:style>
  <w:style w:type="paragraph" w:customStyle="1" w:styleId="15">
    <w:name w:val="Revision"/>
    <w:hidden/>
    <w:unhideWhenUsed/>
    <w:qFormat/>
    <w:uiPriority w:val="99"/>
    <w:rPr>
      <w:rFonts w:asciiTheme="minorHAnsi" w:hAnsiTheme="minorHAnsi" w:eastAsiaTheme="minorEastAsia" w:cstheme="minorBidi"/>
      <w:kern w:val="2"/>
      <w:sz w:val="21"/>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6709</Words>
  <Characters>7149</Characters>
  <Lines>489</Lines>
  <Paragraphs>382</Paragraphs>
  <TotalTime>10</TotalTime>
  <ScaleCrop>false</ScaleCrop>
  <LinksUpToDate>false</LinksUpToDate>
  <CharactersWithSpaces>7287</CharactersWithSpaces>
  <Application>WPS Office_11.8.2.11625_F1E327BC-269C-435d-A152-05C5408002CA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2025-05-11T17:48:00Z</dcterms:created>
  <dc:creator>新晓，奇</dc:creator>
  <cp:lastModifiedBy>zhangling</cp:lastModifiedBy>
  <cp:lastPrinted>2025-08-26T15:32:00Z</cp:lastPrinted>
  <dcterms:modified xsi:type="dcterms:W3CDTF">2025-08-27T09:31:44Z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2052-11.8.2.11625</vt:lpwstr>
  </property>
  <property fmtid="{D5CDD505-2E9C-101B-9397-08002B2CF9AE}" pid="3" name="ICV">
    <vt:lpwstr>2EEB4288503846A9A17C5FF7B6BC44F2_13</vt:lpwstr>
  </property>
  <property fmtid="{D5CDD505-2E9C-101B-9397-08002B2CF9AE}" pid="4" name="KSOTemplateDocerSaveRecord">
    <vt:lpwstr>eyJoZGlkIjoiNGVhZmUzYTZjZDcwYmIyZGIxZDI2MmZlNWMwMTg1YjEiLCJ1c2VySWQiOiIyNjA4OTk2MDEifQ==</vt:lpwstr>
  </property>
</Properties>
</file>