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15069">
      <w:pPr>
        <w:spacing w:line="560" w:lineRule="exact"/>
        <w:jc w:val="center"/>
        <w:rPr>
          <w:rFonts w:hint="eastAsia" w:ascii="方正小标宋简体" w:eastAsia="方正小标宋简体"/>
          <w:color w:val="000000"/>
          <w:sz w:val="44"/>
          <w:szCs w:val="44"/>
          <w:u w:val="none"/>
          <w:lang w:val="en-US" w:eastAsia="zh-CN"/>
        </w:rPr>
      </w:pPr>
      <w:r>
        <w:rPr>
          <w:rFonts w:hint="eastAsia" w:ascii="方正小标宋简体" w:eastAsia="方正小标宋简体"/>
          <w:color w:val="000000"/>
          <w:sz w:val="44"/>
          <w:szCs w:val="44"/>
          <w:u w:val="none"/>
          <w:lang w:eastAsia="zh-CN"/>
        </w:rPr>
        <w:t>北</w:t>
      </w:r>
      <w:r>
        <w:rPr>
          <w:rFonts w:hint="eastAsia" w:ascii="方正小标宋简体" w:eastAsia="方正小标宋简体"/>
          <w:color w:val="000000"/>
          <w:sz w:val="44"/>
          <w:szCs w:val="44"/>
          <w:u w:val="none"/>
          <w:lang w:val="en-US" w:eastAsia="zh-CN"/>
        </w:rPr>
        <w:t>京考古遗址博物馆</w:t>
      </w:r>
    </w:p>
    <w:p w14:paraId="3CAE6D7F">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789B6D8D">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61C354CC">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6FCDA475">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6F9E0C07">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4B4EDEF6">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6B016CE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652249E7">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6EE6000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793C18B">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19D4B95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21F0AAFC">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2F48EB9E">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62648294">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5C5C542F">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2AC10C9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319C0FF8">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3767D917">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098B7053">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4CAF439C">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65938400">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2EFD89DE">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4D24F949">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0106DE3C">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1C494A1F">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02955955">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71D4BF1D">
      <w:pPr>
        <w:spacing w:line="560" w:lineRule="exact"/>
        <w:ind w:firstLine="640" w:firstLineChars="200"/>
        <w:rPr>
          <w:rFonts w:hint="eastAsia" w:ascii="仿宋_GB2312" w:eastAsia="仿宋_GB2312"/>
          <w:sz w:val="32"/>
          <w:szCs w:val="32"/>
          <w:lang w:eastAsia="zh-CN"/>
        </w:rPr>
      </w:pPr>
      <w:r>
        <w:rPr>
          <w:rFonts w:hint="eastAsia" w:ascii="仿宋_GB2312" w:hAnsi="Times New Roman" w:eastAsia="仿宋_GB2312"/>
          <w:sz w:val="32"/>
          <w:szCs w:val="32"/>
        </w:rPr>
        <w:t>根据</w:t>
      </w:r>
      <w:r>
        <w:rPr>
          <w:rFonts w:hint="eastAsia" w:ascii="仿宋_GB2312" w:eastAsia="仿宋_GB2312"/>
          <w:sz w:val="32"/>
          <w:szCs w:val="32"/>
        </w:rPr>
        <w:t>市编委《关于北京市文物局所属事业单位改革有关事项的批复》（京编委〔2021〕121号），同意整合</w:t>
      </w:r>
      <w:r>
        <w:rPr>
          <w:rFonts w:hint="eastAsia" w:ascii="仿宋_GB2312" w:eastAsia="仿宋_GB2312"/>
          <w:sz w:val="32"/>
          <w:szCs w:val="32"/>
          <w:lang w:val="en-US" w:eastAsia="zh-CN"/>
        </w:rPr>
        <w:t>原</w:t>
      </w:r>
      <w:r>
        <w:rPr>
          <w:rFonts w:hint="eastAsia" w:ascii="仿宋_GB2312" w:eastAsia="仿宋_GB2312"/>
          <w:sz w:val="32"/>
          <w:szCs w:val="32"/>
        </w:rPr>
        <w:t>北京市西周燕都博物馆、</w:t>
      </w:r>
      <w:r>
        <w:rPr>
          <w:rFonts w:hint="eastAsia" w:ascii="仿宋_GB2312" w:eastAsia="仿宋_GB2312"/>
          <w:sz w:val="32"/>
          <w:szCs w:val="32"/>
          <w:lang w:val="en-US" w:eastAsia="zh-CN"/>
        </w:rPr>
        <w:t>原</w:t>
      </w:r>
      <w:r>
        <w:rPr>
          <w:rFonts w:hint="eastAsia" w:ascii="仿宋_GB2312" w:eastAsia="仿宋_GB2312"/>
          <w:sz w:val="32"/>
          <w:szCs w:val="32"/>
        </w:rPr>
        <w:t>北京辽金城垣博物馆、</w:t>
      </w:r>
      <w:r>
        <w:rPr>
          <w:rFonts w:hint="eastAsia" w:ascii="仿宋_GB2312" w:eastAsia="仿宋_GB2312"/>
          <w:sz w:val="32"/>
          <w:szCs w:val="32"/>
          <w:lang w:val="en-US" w:eastAsia="zh-CN"/>
        </w:rPr>
        <w:t>原</w:t>
      </w:r>
      <w:r>
        <w:rPr>
          <w:rFonts w:hint="eastAsia" w:ascii="仿宋_GB2312" w:eastAsia="仿宋_GB2312"/>
          <w:sz w:val="32"/>
          <w:szCs w:val="32"/>
        </w:rPr>
        <w:t>北京市大葆台西汉墓博物馆，组建北京考古遗址博物馆</w:t>
      </w:r>
      <w:r>
        <w:rPr>
          <w:rFonts w:hint="eastAsia" w:ascii="仿宋_GB2312" w:hAnsi="Times New Roman" w:eastAsia="仿宋_GB2312"/>
          <w:sz w:val="32"/>
          <w:szCs w:val="32"/>
        </w:rPr>
        <w:t>，</w:t>
      </w:r>
      <w:r>
        <w:rPr>
          <w:rFonts w:hint="eastAsia" w:ascii="仿宋_GB2312" w:eastAsia="仿宋_GB2312"/>
          <w:sz w:val="32"/>
          <w:szCs w:val="32"/>
        </w:rPr>
        <w:t>为正处级公益一类事业单位</w:t>
      </w:r>
      <w:r>
        <w:rPr>
          <w:rFonts w:hint="eastAsia" w:ascii="仿宋_GB2312" w:eastAsia="仿宋_GB2312"/>
          <w:sz w:val="32"/>
          <w:szCs w:val="32"/>
          <w:lang w:eastAsia="zh-CN"/>
        </w:rPr>
        <w:t>，</w:t>
      </w:r>
      <w:r>
        <w:rPr>
          <w:rFonts w:hint="eastAsia" w:ascii="仿宋_GB2312" w:eastAsia="仿宋_GB2312"/>
          <w:sz w:val="32"/>
          <w:szCs w:val="32"/>
        </w:rPr>
        <w:t>上级业务主管部门为</w:t>
      </w:r>
      <w:r>
        <w:rPr>
          <w:rFonts w:hint="eastAsia" w:ascii="仿宋_GB2312" w:eastAsia="仿宋_GB2312"/>
          <w:sz w:val="32"/>
          <w:szCs w:val="32"/>
          <w:lang w:val="en-US" w:eastAsia="zh-CN"/>
        </w:rPr>
        <w:t>北京市</w:t>
      </w:r>
      <w:r>
        <w:rPr>
          <w:rFonts w:hint="eastAsia" w:ascii="仿宋_GB2312" w:eastAsia="仿宋_GB2312"/>
          <w:sz w:val="32"/>
          <w:szCs w:val="32"/>
        </w:rPr>
        <w:t>文物局。主要职责如下</w:t>
      </w:r>
      <w:r>
        <w:rPr>
          <w:rFonts w:hint="eastAsia" w:ascii="仿宋_GB2312" w:eastAsia="仿宋_GB2312"/>
          <w:sz w:val="32"/>
          <w:szCs w:val="32"/>
          <w:lang w:eastAsia="zh-CN"/>
        </w:rPr>
        <w:t>：</w:t>
      </w:r>
    </w:p>
    <w:p w14:paraId="2D473BCA">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rPr>
        <w:t>收藏展览文物，弘扬民族文化</w:t>
      </w:r>
      <w:r>
        <w:rPr>
          <w:rFonts w:hint="eastAsia" w:ascii="仿宋_GB2312" w:eastAsia="仿宋_GB2312"/>
          <w:color w:val="000000"/>
          <w:sz w:val="32"/>
          <w:szCs w:val="32"/>
          <w:lang w:eastAsia="zh-CN"/>
        </w:rPr>
        <w:t>；</w:t>
      </w:r>
    </w:p>
    <w:p w14:paraId="5CEFE369">
      <w:pPr>
        <w:numPr>
          <w:ilvl w:val="0"/>
          <w:numId w:val="1"/>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文物征集、登编、修复、保管、文物展览</w:t>
      </w:r>
      <w:r>
        <w:rPr>
          <w:rFonts w:hint="eastAsia" w:ascii="仿宋_GB2312" w:eastAsia="仿宋_GB2312"/>
          <w:color w:val="000000"/>
          <w:sz w:val="32"/>
          <w:szCs w:val="32"/>
          <w:lang w:eastAsia="zh-CN"/>
        </w:rPr>
        <w:t>；</w:t>
      </w:r>
    </w:p>
    <w:p w14:paraId="0F26BC09">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文物复制与修复</w:t>
      </w:r>
      <w:r>
        <w:rPr>
          <w:rFonts w:hint="eastAsia" w:ascii="仿宋_GB2312" w:eastAsia="仿宋_GB2312"/>
          <w:color w:val="000000"/>
          <w:sz w:val="32"/>
          <w:szCs w:val="32"/>
          <w:lang w:eastAsia="zh-CN"/>
        </w:rPr>
        <w:t>；</w:t>
      </w:r>
    </w:p>
    <w:p w14:paraId="45D9E5A4">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历代文物研究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文物收藏、博物馆研究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古器物研究、通史和近代史研究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文物修复技术研究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藏品研究</w:t>
      </w:r>
      <w:r>
        <w:rPr>
          <w:rFonts w:hint="eastAsia" w:ascii="仿宋_GB2312" w:eastAsia="仿宋_GB2312"/>
          <w:color w:val="000000"/>
          <w:sz w:val="32"/>
          <w:szCs w:val="32"/>
          <w:lang w:eastAsia="zh-CN"/>
        </w:rPr>
        <w:t>；</w:t>
      </w:r>
    </w:p>
    <w:p w14:paraId="79B6325E">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文物宣传</w:t>
      </w:r>
      <w:r>
        <w:rPr>
          <w:rFonts w:hint="eastAsia" w:ascii="仿宋_GB2312" w:eastAsia="仿宋_GB2312"/>
          <w:color w:val="000000"/>
          <w:sz w:val="32"/>
          <w:szCs w:val="32"/>
          <w:lang w:eastAsia="zh-CN"/>
        </w:rPr>
        <w:t>、</w:t>
      </w:r>
      <w:r>
        <w:rPr>
          <w:rFonts w:hint="eastAsia" w:ascii="仿宋_GB2312" w:eastAsia="仿宋_GB2312"/>
          <w:color w:val="000000"/>
          <w:sz w:val="32"/>
          <w:szCs w:val="32"/>
        </w:rPr>
        <w:t>文物讲解</w:t>
      </w:r>
      <w:r>
        <w:rPr>
          <w:rFonts w:hint="eastAsia" w:ascii="仿宋_GB2312" w:eastAsia="仿宋_GB2312"/>
          <w:color w:val="000000"/>
          <w:sz w:val="32"/>
          <w:szCs w:val="32"/>
          <w:lang w:eastAsia="zh-CN"/>
        </w:rPr>
        <w:t>、</w:t>
      </w:r>
      <w:r>
        <w:rPr>
          <w:rFonts w:hint="eastAsia" w:ascii="仿宋_GB2312" w:eastAsia="仿宋_GB2312"/>
          <w:color w:val="000000"/>
          <w:sz w:val="32"/>
          <w:szCs w:val="32"/>
        </w:rPr>
        <w:t>历史知识普及</w:t>
      </w:r>
      <w:r>
        <w:rPr>
          <w:rFonts w:hint="eastAsia" w:ascii="仿宋_GB2312" w:eastAsia="仿宋_GB2312"/>
          <w:color w:val="000000"/>
          <w:sz w:val="32"/>
          <w:szCs w:val="32"/>
          <w:lang w:eastAsia="zh-CN"/>
        </w:rPr>
        <w:t>；</w:t>
      </w:r>
    </w:p>
    <w:p w14:paraId="4A13F36A">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文物信息网络建设，历史著作及图录编辑出版</w:t>
      </w:r>
      <w:r>
        <w:rPr>
          <w:rFonts w:hint="eastAsia" w:ascii="仿宋_GB2312" w:eastAsia="仿宋_GB2312"/>
          <w:color w:val="000000"/>
          <w:sz w:val="32"/>
          <w:szCs w:val="32"/>
          <w:lang w:eastAsia="zh-CN"/>
        </w:rPr>
        <w:t>；</w:t>
      </w:r>
    </w:p>
    <w:p w14:paraId="53EFD76C">
      <w:pPr>
        <w:numPr>
          <w:ilvl w:val="0"/>
          <w:numId w:val="1"/>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考古技术服务。</w:t>
      </w:r>
    </w:p>
    <w:p w14:paraId="70414967">
      <w:pPr>
        <w:numPr>
          <w:ilvl w:val="0"/>
          <w:numId w:val="2"/>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0BFCB476">
      <w:pPr>
        <w:spacing w:line="560" w:lineRule="exact"/>
        <w:ind w:firstLine="640" w:firstLineChars="200"/>
        <w:rPr>
          <w:rFonts w:hint="default" w:ascii="楷体_GB2312" w:eastAsia="楷体_GB2312"/>
          <w:color w:val="000000"/>
          <w:sz w:val="32"/>
          <w:szCs w:val="32"/>
          <w:u w:val="none"/>
          <w:lang w:val="en-US" w:eastAsia="zh-CN"/>
        </w:rPr>
      </w:pPr>
      <w:r>
        <w:rPr>
          <w:rFonts w:hint="eastAsia" w:ascii="仿宋_GB2312" w:eastAsia="仿宋_GB2312"/>
          <w:sz w:val="32"/>
          <w:szCs w:val="32"/>
        </w:rPr>
        <w:t>北京考古遗址博物馆</w:t>
      </w:r>
      <w:r>
        <w:rPr>
          <w:rFonts w:hint="eastAsia" w:ascii="仿宋_GB2312" w:eastAsia="仿宋_GB2312"/>
          <w:color w:val="000000"/>
          <w:sz w:val="32"/>
          <w:szCs w:val="32"/>
        </w:rPr>
        <w:t>事业编制62人，</w:t>
      </w:r>
      <w:r>
        <w:rPr>
          <w:rFonts w:hint="eastAsia" w:ascii="仿宋_GB2312" w:eastAsia="仿宋_GB2312"/>
          <w:sz w:val="32"/>
          <w:szCs w:val="32"/>
        </w:rPr>
        <w:t>依据</w:t>
      </w:r>
      <w:r>
        <w:rPr>
          <w:rFonts w:hint="eastAsia" w:ascii="仿宋_GB2312" w:eastAsia="仿宋_GB2312"/>
          <w:sz w:val="32"/>
          <w:szCs w:val="32"/>
          <w:lang w:val="en-US" w:eastAsia="zh-CN"/>
        </w:rPr>
        <w:t>北京</w:t>
      </w:r>
      <w:r>
        <w:rPr>
          <w:rFonts w:hint="eastAsia" w:ascii="仿宋_GB2312" w:eastAsia="仿宋_GB2312"/>
          <w:sz w:val="32"/>
          <w:szCs w:val="32"/>
        </w:rPr>
        <w:t>市文物局转发关于事业单位岗位设置方案，设置8个内设机构，分别为：办公室与党建工作部、安保开放部、展览陈列部、文物保护部、考古研究部、宣传教育部、藏品管理部、事业推广部。</w:t>
      </w:r>
    </w:p>
    <w:p w14:paraId="1D5049E9">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756D93A5">
      <w:pPr>
        <w:ind w:firstLine="640" w:firstLineChars="200"/>
        <w:rPr>
          <w:rFonts w:hint="eastAsia" w:ascii="仿宋_GB2312" w:eastAsia="仿宋_GB2312"/>
          <w:sz w:val="32"/>
          <w:szCs w:val="32"/>
        </w:rPr>
      </w:pPr>
      <w:r>
        <w:rPr>
          <w:rFonts w:hint="eastAsia" w:ascii="仿宋_GB2312" w:eastAsia="仿宋_GB2312"/>
          <w:sz w:val="32"/>
          <w:szCs w:val="32"/>
        </w:rPr>
        <w:t>北京考古遗址博物馆</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人；事业编制</w:t>
      </w:r>
      <w:r>
        <w:rPr>
          <w:rFonts w:hint="eastAsia" w:ascii="仿宋_GB2312" w:eastAsia="仿宋_GB2312"/>
          <w:color w:val="000000"/>
          <w:sz w:val="32"/>
          <w:szCs w:val="32"/>
          <w:u w:val="none"/>
          <w:lang w:eastAsia="zh-CN"/>
        </w:rPr>
        <w:t>6</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5</w:t>
      </w:r>
      <w:r>
        <w:rPr>
          <w:rFonts w:hint="eastAsia" w:ascii="仿宋_GB2312" w:eastAsia="仿宋_GB2312"/>
          <w:color w:val="000000"/>
          <w:sz w:val="32"/>
          <w:szCs w:val="32"/>
          <w:u w:val="none"/>
          <w:lang w:val="en-US" w:eastAsia="zh-CN"/>
        </w:rPr>
        <w:t>1</w:t>
      </w:r>
      <w:r>
        <w:rPr>
          <w:rFonts w:hint="eastAsia" w:ascii="仿宋_GB2312" w:eastAsia="仿宋_GB2312"/>
          <w:color w:val="000000"/>
          <w:sz w:val="32"/>
          <w:szCs w:val="32"/>
          <w:u w:val="none"/>
        </w:rPr>
        <w:t>人；其</w:t>
      </w:r>
      <w:r>
        <w:rPr>
          <w:rFonts w:hint="eastAsia" w:ascii="仿宋_GB2312" w:eastAsia="仿宋_GB2312"/>
          <w:sz w:val="32"/>
          <w:szCs w:val="32"/>
        </w:rPr>
        <w:t>他聘用人员2人。</w:t>
      </w:r>
    </w:p>
    <w:p w14:paraId="1B1BCEAC">
      <w:pPr>
        <w:spacing w:line="240" w:lineRule="auto"/>
        <w:ind w:firstLine="640" w:firstLineChars="200"/>
        <w:rPr>
          <w:rFonts w:hint="eastAsia" w:ascii="仿宋_GB2312" w:eastAsia="仿宋_GB2312"/>
          <w:color w:val="000000"/>
          <w:sz w:val="32"/>
          <w:szCs w:val="32"/>
          <w:u w:val="none"/>
        </w:rPr>
      </w:pPr>
      <w:r>
        <w:rPr>
          <w:rFonts w:hint="eastAsia" w:ascii="仿宋_GB2312" w:eastAsia="仿宋_GB2312"/>
          <w:sz w:val="32"/>
          <w:szCs w:val="32"/>
        </w:rPr>
        <w:t>离退休人员2</w:t>
      </w:r>
      <w:r>
        <w:rPr>
          <w:rFonts w:hint="eastAsia" w:ascii="仿宋_GB2312" w:eastAsia="仿宋_GB2312"/>
          <w:sz w:val="32"/>
          <w:szCs w:val="32"/>
          <w:lang w:val="en-US" w:eastAsia="zh-CN"/>
        </w:rPr>
        <w:t>7</w:t>
      </w:r>
      <w:r>
        <w:rPr>
          <w:rFonts w:hint="eastAsia" w:ascii="仿宋_GB2312" w:eastAsia="仿宋_GB2312"/>
          <w:sz w:val="32"/>
          <w:szCs w:val="32"/>
        </w:rPr>
        <w:t>人，其中：离休0人，退休2</w:t>
      </w:r>
      <w:r>
        <w:rPr>
          <w:rFonts w:hint="eastAsia" w:ascii="仿宋_GB2312" w:eastAsia="仿宋_GB2312"/>
          <w:sz w:val="32"/>
          <w:szCs w:val="32"/>
          <w:lang w:val="en-US" w:eastAsia="zh-CN"/>
        </w:rPr>
        <w:t>7</w:t>
      </w:r>
      <w:r>
        <w:rPr>
          <w:rFonts w:hint="eastAsia" w:ascii="仿宋_GB2312" w:eastAsia="仿宋_GB2312"/>
          <w:sz w:val="32"/>
          <w:szCs w:val="32"/>
        </w:rPr>
        <w:t>人。</w:t>
      </w:r>
    </w:p>
    <w:p w14:paraId="137D9CFF">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556A949E">
      <w:pPr>
        <w:spacing w:line="560" w:lineRule="exact"/>
        <w:ind w:firstLine="640" w:firstLineChars="200"/>
        <w:rPr>
          <w:rFonts w:hint="default"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lang w:eastAsia="zh-CN"/>
        </w:rPr>
        <w:t>8</w:t>
      </w:r>
      <w:r>
        <w:rPr>
          <w:rFonts w:hint="eastAsia" w:ascii="仿宋_GB2312" w:eastAsia="仿宋_GB2312" w:cs="Droid Sans"/>
          <w:color w:val="auto"/>
          <w:sz w:val="32"/>
          <w:szCs w:val="32"/>
          <w:u w:val="none"/>
          <w:lang w:val="en-US" w:eastAsia="zh-CN"/>
        </w:rPr>
        <w:t>952.77</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2024年年初预算数7</w:t>
      </w:r>
      <w:r>
        <w:rPr>
          <w:rFonts w:hint="eastAsia" w:ascii="仿宋_GB2312" w:eastAsia="仿宋_GB2312"/>
          <w:color w:val="auto"/>
          <w:sz w:val="32"/>
          <w:szCs w:val="32"/>
          <w:u w:val="none"/>
          <w:lang w:val="en-US" w:eastAsia="zh-CN"/>
        </w:rPr>
        <w:t>910.29</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1042.48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3.18</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为了保障</w:t>
      </w:r>
      <w:r>
        <w:rPr>
          <w:rFonts w:hint="eastAsia" w:ascii="仿宋_GB2312" w:eastAsia="仿宋_GB2312"/>
          <w:sz w:val="32"/>
          <w:szCs w:val="32"/>
          <w:highlight w:val="none"/>
          <w:lang w:val="en-US" w:eastAsia="zh-CN"/>
        </w:rPr>
        <w:t>2025年大葆台遗址馆区新馆对公众开放，本年新增了大葆台遗址馆区的公用经费和《北京大葆台西汉墓新馆基本陈列项目》项目经费。</w:t>
      </w:r>
    </w:p>
    <w:p w14:paraId="074CE313">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本年财政拨款收入6</w:t>
      </w:r>
      <w:r>
        <w:rPr>
          <w:rFonts w:hint="eastAsia" w:ascii="楷体_GB2312" w:eastAsia="楷体_GB2312"/>
          <w:color w:val="auto"/>
          <w:sz w:val="32"/>
          <w:szCs w:val="32"/>
          <w:u w:val="none"/>
          <w:lang w:val="en-US" w:eastAsia="zh-CN"/>
        </w:rPr>
        <w:t>369.02</w:t>
      </w:r>
      <w:r>
        <w:rPr>
          <w:rFonts w:hint="eastAsia" w:ascii="楷体_GB2312" w:eastAsia="楷体_GB2312"/>
          <w:color w:val="auto"/>
          <w:sz w:val="32"/>
          <w:szCs w:val="32"/>
          <w:u w:val="none"/>
          <w:lang w:eastAsia="zh-CN"/>
        </w:rPr>
        <w:t>元</w:t>
      </w:r>
    </w:p>
    <w:p w14:paraId="278633E6">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一般公共预算拨款收入6</w:t>
      </w:r>
      <w:r>
        <w:rPr>
          <w:rFonts w:hint="eastAsia" w:ascii="仿宋_GB2312" w:eastAsia="仿宋_GB2312" w:cs="Droid Sans"/>
          <w:color w:val="auto"/>
          <w:sz w:val="32"/>
          <w:szCs w:val="32"/>
          <w:u w:val="none"/>
          <w:lang w:val="en-US" w:eastAsia="zh-CN"/>
        </w:rPr>
        <w:t>369.02</w:t>
      </w:r>
      <w:r>
        <w:rPr>
          <w:rFonts w:hint="eastAsia" w:ascii="仿宋_GB2312" w:eastAsia="仿宋_GB2312" w:cs="Droid Sans"/>
          <w:color w:val="auto"/>
          <w:sz w:val="32"/>
          <w:szCs w:val="32"/>
          <w:u w:val="none"/>
        </w:rPr>
        <w:t>万元。</w:t>
      </w:r>
    </w:p>
    <w:p w14:paraId="56835671">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14:paraId="21418034">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14:paraId="6CDE9C20">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收入4</w:t>
      </w:r>
      <w:r>
        <w:rPr>
          <w:rFonts w:hint="eastAsia" w:ascii="楷体_GB2312" w:eastAsia="楷体_GB2312" w:cs="Droid Sans"/>
          <w:color w:val="auto"/>
          <w:sz w:val="32"/>
          <w:szCs w:val="32"/>
          <w:u w:val="none"/>
          <w:lang w:val="en-US" w:eastAsia="zh-CN"/>
        </w:rPr>
        <w:t>9.62</w:t>
      </w:r>
      <w:r>
        <w:rPr>
          <w:rFonts w:hint="eastAsia" w:ascii="楷体_GB2312" w:eastAsia="楷体_GB2312" w:cs="Droid Sans"/>
          <w:color w:val="auto"/>
          <w:sz w:val="32"/>
          <w:szCs w:val="32"/>
          <w:u w:val="none"/>
          <w:lang w:eastAsia="zh-CN"/>
        </w:rPr>
        <w:t>万元</w:t>
      </w:r>
    </w:p>
    <w:p w14:paraId="1A4F3F5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3AC06174">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0416C87F">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642074B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1565AD7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1A20C959">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9.62</w:t>
      </w:r>
      <w:r>
        <w:rPr>
          <w:rFonts w:hint="eastAsia" w:ascii="仿宋_GB2312" w:eastAsia="仿宋_GB2312" w:cs="Droid Sans"/>
          <w:color w:val="auto"/>
          <w:sz w:val="32"/>
          <w:szCs w:val="32"/>
          <w:u w:val="none"/>
        </w:rPr>
        <w:t>万元。</w:t>
      </w:r>
    </w:p>
    <w:p w14:paraId="53684372">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2</w:t>
      </w:r>
      <w:r>
        <w:rPr>
          <w:rFonts w:hint="eastAsia" w:ascii="楷体_GB2312" w:eastAsia="楷体_GB2312" w:cs="Droid Sans"/>
          <w:color w:val="auto"/>
          <w:sz w:val="32"/>
          <w:szCs w:val="32"/>
          <w:u w:val="none"/>
          <w:lang w:val="en-US" w:eastAsia="zh-CN"/>
        </w:rPr>
        <w:t>534.13</w:t>
      </w:r>
      <w:r>
        <w:rPr>
          <w:rFonts w:hint="eastAsia" w:ascii="楷体_GB2312" w:eastAsia="楷体_GB2312" w:cs="Droid Sans"/>
          <w:color w:val="auto"/>
          <w:sz w:val="32"/>
          <w:szCs w:val="32"/>
          <w:u w:val="none"/>
          <w:lang w:eastAsia="zh-CN"/>
        </w:rPr>
        <w:t>万元</w:t>
      </w:r>
    </w:p>
    <w:p w14:paraId="5593CB61">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534.13</w:t>
      </w:r>
      <w:r>
        <w:rPr>
          <w:rFonts w:hint="eastAsia" w:ascii="仿宋_GB2312" w:eastAsia="仿宋_GB2312" w:cs="Droid Sans"/>
          <w:color w:val="auto"/>
          <w:sz w:val="32"/>
          <w:szCs w:val="32"/>
          <w:u w:val="none"/>
        </w:rPr>
        <w:t>万元。</w:t>
      </w:r>
    </w:p>
    <w:p w14:paraId="1EDE11AB">
      <w:pPr>
        <w:spacing w:line="560" w:lineRule="exact"/>
        <w:ind w:firstLine="640" w:firstLineChars="200"/>
        <w:rPr>
          <w:rFonts w:hint="eastAsia" w:ascii="仿宋_GB2312" w:eastAsia="仿宋_GB2312" w:cs="Droid Sans"/>
          <w:color w:val="auto"/>
          <w:sz w:val="32"/>
          <w:szCs w:val="32"/>
          <w:u w:val="none"/>
        </w:rPr>
      </w:pPr>
    </w:p>
    <w:p w14:paraId="7A8D3B1D">
      <w:pPr>
        <w:pStyle w:val="2"/>
        <w:jc w:val="center"/>
        <w:rPr>
          <w:u w:val="none"/>
        </w:rPr>
      </w:pPr>
      <w:r>
        <w:drawing>
          <wp:inline distT="0" distB="0" distL="114300" distR="114300">
            <wp:extent cx="4826000" cy="3282950"/>
            <wp:effectExtent l="4445" t="4445" r="8255" b="8255"/>
            <wp:docPr id="1" name="图表 2"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6A1F9408">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22D12B0D">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1F3ABB30">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952.77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2024年年初预算数7</w:t>
      </w:r>
      <w:r>
        <w:rPr>
          <w:rFonts w:hint="eastAsia" w:ascii="仿宋_GB2312" w:eastAsia="仿宋_GB2312"/>
          <w:color w:val="auto"/>
          <w:sz w:val="32"/>
          <w:szCs w:val="32"/>
          <w:u w:val="none"/>
          <w:lang w:val="en-US" w:eastAsia="zh-CN"/>
        </w:rPr>
        <w:t>910.29</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042.48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3.18</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为了保障</w:t>
      </w:r>
      <w:r>
        <w:rPr>
          <w:rFonts w:hint="eastAsia" w:ascii="仿宋_GB2312" w:eastAsia="仿宋_GB2312"/>
          <w:sz w:val="32"/>
          <w:szCs w:val="32"/>
          <w:highlight w:val="none"/>
          <w:lang w:val="en-US" w:eastAsia="zh-CN"/>
        </w:rPr>
        <w:t>2025年大葆台遗址馆区新馆对公众开放，本年增加了大葆台遗址馆区</w:t>
      </w:r>
      <w:bookmarkStart w:id="0" w:name="_GoBack"/>
      <w:bookmarkEnd w:id="0"/>
      <w:r>
        <w:rPr>
          <w:rFonts w:hint="eastAsia" w:ascii="仿宋_GB2312" w:eastAsia="仿宋_GB2312"/>
          <w:sz w:val="32"/>
          <w:szCs w:val="32"/>
          <w:highlight w:val="none"/>
          <w:lang w:val="en-US" w:eastAsia="zh-CN"/>
        </w:rPr>
        <w:t>的公用经费和《北京大葆台西汉墓新馆基本陈列项目》项目经费。</w:t>
      </w:r>
    </w:p>
    <w:p w14:paraId="76BFC7B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3</w:t>
      </w:r>
      <w:r>
        <w:rPr>
          <w:rFonts w:hint="eastAsia" w:ascii="仿宋_GB2312" w:eastAsia="仿宋_GB2312"/>
          <w:color w:val="auto"/>
          <w:sz w:val="32"/>
          <w:szCs w:val="32"/>
          <w:highlight w:val="none"/>
          <w:u w:val="none"/>
          <w:lang w:val="en-US" w:eastAsia="zh-CN"/>
        </w:rPr>
        <w:t>072.14</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3</w:t>
      </w:r>
      <w:r>
        <w:rPr>
          <w:rFonts w:hint="eastAsia" w:ascii="仿宋_GB2312" w:eastAsia="仿宋_GB2312"/>
          <w:color w:val="auto"/>
          <w:sz w:val="32"/>
          <w:szCs w:val="32"/>
          <w:highlight w:val="none"/>
          <w:u w:val="none"/>
          <w:lang w:val="en-US" w:eastAsia="zh-CN"/>
        </w:rPr>
        <w:t>4.31</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lang w:val="en-US" w:eastAsia="zh-CN"/>
        </w:rPr>
        <w:t>2507.74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64.40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2.51</w:t>
      </w:r>
      <w:r>
        <w:rPr>
          <w:rFonts w:hint="eastAsia" w:ascii="仿宋_GB2312" w:eastAsia="仿宋_GB2312"/>
          <w:color w:val="auto"/>
          <w:sz w:val="32"/>
          <w:szCs w:val="32"/>
          <w:u w:val="none"/>
        </w:rPr>
        <w:t>%。</w:t>
      </w:r>
    </w:p>
    <w:p w14:paraId="6AF9648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821.44</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rPr>
        <w:t>5402.55</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18.89</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.75</w:t>
      </w:r>
      <w:r>
        <w:rPr>
          <w:rFonts w:hint="eastAsia" w:ascii="仿宋_GB2312" w:eastAsia="仿宋_GB2312"/>
          <w:color w:val="auto"/>
          <w:sz w:val="32"/>
          <w:szCs w:val="32"/>
          <w:u w:val="none"/>
        </w:rPr>
        <w:t>%。其中：</w:t>
      </w:r>
    </w:p>
    <w:p w14:paraId="05A04E81">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3DE23ECB">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1F24D2C3">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14:paraId="172CEED8">
      <w:pPr>
        <w:pStyle w:val="2"/>
        <w:ind w:firstLine="642"/>
        <w:jc w:val="center"/>
        <w:rPr>
          <w:color w:val="auto"/>
          <w:u w:val="none"/>
        </w:rPr>
      </w:pPr>
      <w:r>
        <w:drawing>
          <wp:inline distT="0" distB="0" distL="114300" distR="114300">
            <wp:extent cx="4920615" cy="3133090"/>
            <wp:effectExtent l="4445" t="4445" r="8890" b="5715"/>
            <wp:docPr id="3" name="图表 1"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01FD382">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7F333B4A">
      <w:pPr>
        <w:numPr>
          <w:ilvl w:val="0"/>
          <w:numId w:val="3"/>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59.19</w:t>
      </w:r>
      <w:r>
        <w:rPr>
          <w:rFonts w:hint="eastAsia" w:ascii="楷体_GB2312" w:hAnsi="楷体_GB2312" w:eastAsia="楷体_GB2312" w:cs="楷体_GB2312"/>
          <w:color w:val="000000"/>
          <w:sz w:val="32"/>
          <w:szCs w:val="32"/>
          <w:highlight w:val="none"/>
          <w:u w:val="none"/>
          <w:lang w:eastAsia="zh-CN"/>
        </w:rPr>
        <w:t>万元</w:t>
      </w:r>
    </w:p>
    <w:p w14:paraId="2B628382">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4FB5A5D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50BEDB56">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sz w:val="32"/>
          <w:szCs w:val="32"/>
          <w:highlight w:val="none"/>
          <w:lang w:val="en-US" w:eastAsia="zh-CN"/>
        </w:rPr>
        <w:t>北京考古遗址博物馆</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rPr>
        <w:t>个所属单位。</w:t>
      </w:r>
    </w:p>
    <w:p w14:paraId="6365C080">
      <w:pPr>
        <w:spacing w:line="560" w:lineRule="exact"/>
        <w:ind w:firstLine="640" w:firstLineChars="200"/>
        <w:rPr>
          <w:rFonts w:hint="eastAsia" w:ascii="仿宋_GB2312" w:eastAsia="仿宋_GB2312"/>
          <w:color w:val="auto"/>
          <w:sz w:val="32"/>
          <w:szCs w:val="32"/>
          <w:u w:val="none"/>
          <w:lang w:eastAsia="zh-CN"/>
        </w:rPr>
      </w:pPr>
      <w:r>
        <w:rPr>
          <w:rFonts w:hint="eastAsia" w:ascii="楷体_GB2312" w:eastAsia="楷体_GB2312"/>
          <w:color w:val="auto"/>
          <w:sz w:val="32"/>
          <w:szCs w:val="32"/>
          <w:u w:val="none"/>
        </w:rPr>
        <w:t>（二）财政拨款“三公”经费预算情况说明</w:t>
      </w:r>
    </w:p>
    <w:p w14:paraId="09440576">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24.09万元</w:t>
      </w:r>
      <w:r>
        <w:rPr>
          <w:rFonts w:hint="eastAsia" w:ascii="仿宋_GB2312" w:eastAsia="仿宋_GB2312"/>
          <w:color w:val="auto"/>
          <w:sz w:val="32"/>
          <w:szCs w:val="32"/>
          <w:u w:val="none"/>
        </w:rPr>
        <w:t>减少</w:t>
      </w:r>
      <w:r>
        <w:rPr>
          <w:rFonts w:hint="eastAsia" w:ascii="仿宋_GB2312" w:eastAsia="仿宋_GB2312"/>
          <w:color w:val="auto"/>
          <w:sz w:val="32"/>
          <w:szCs w:val="32"/>
          <w:u w:val="none"/>
          <w:lang w:val="en-US" w:eastAsia="zh-CN"/>
        </w:rPr>
        <w:t>18.09</w:t>
      </w:r>
      <w:r>
        <w:rPr>
          <w:rFonts w:hint="eastAsia" w:ascii="仿宋_GB2312" w:eastAsia="仿宋_GB2312"/>
          <w:color w:val="auto"/>
          <w:sz w:val="32"/>
          <w:szCs w:val="32"/>
          <w:u w:val="none"/>
        </w:rPr>
        <w:t>万元。其中：</w:t>
      </w:r>
    </w:p>
    <w:p w14:paraId="499EE6BB">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无</w:t>
      </w:r>
      <w:r>
        <w:rPr>
          <w:rFonts w:hint="eastAsia" w:ascii="仿宋_GB2312" w:eastAsia="仿宋_GB2312"/>
          <w:color w:val="auto"/>
          <w:sz w:val="32"/>
          <w:szCs w:val="32"/>
          <w:u w:val="none"/>
        </w:rPr>
        <w:t>增</w:t>
      </w:r>
      <w:r>
        <w:rPr>
          <w:rFonts w:hint="eastAsia" w:ascii="仿宋_GB2312" w:eastAsia="仿宋_GB2312"/>
          <w:color w:val="auto"/>
          <w:sz w:val="32"/>
          <w:szCs w:val="32"/>
          <w:u w:val="none"/>
          <w:lang w:val="en-US" w:eastAsia="zh-CN"/>
        </w:rPr>
        <w:t>减变化</w:t>
      </w:r>
      <w:r>
        <w:rPr>
          <w:rFonts w:hint="eastAsia" w:ascii="仿宋_GB2312" w:eastAsia="仿宋_GB2312"/>
          <w:color w:val="auto"/>
          <w:sz w:val="32"/>
          <w:szCs w:val="32"/>
          <w:u w:val="none"/>
          <w:lang w:eastAsia="zh-CN"/>
        </w:rPr>
        <w:t>。</w:t>
      </w:r>
    </w:p>
    <w:p w14:paraId="506CC86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无</w:t>
      </w:r>
      <w:r>
        <w:rPr>
          <w:rFonts w:hint="eastAsia" w:ascii="仿宋_GB2312" w:eastAsia="仿宋_GB2312"/>
          <w:color w:val="auto"/>
          <w:sz w:val="32"/>
          <w:szCs w:val="32"/>
          <w:u w:val="none"/>
          <w:lang w:val="en-US" w:eastAsia="zh-CN"/>
        </w:rPr>
        <w:t>增减变化</w:t>
      </w:r>
      <w:r>
        <w:rPr>
          <w:rFonts w:hint="eastAsia" w:ascii="仿宋_GB2312" w:eastAsia="仿宋_GB2312"/>
          <w:color w:val="auto"/>
          <w:sz w:val="32"/>
          <w:szCs w:val="32"/>
          <w:u w:val="none"/>
        </w:rPr>
        <w:t>。</w:t>
      </w:r>
    </w:p>
    <w:p w14:paraId="618A3376">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7.98</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我单位2025年没有公务用车购置项目</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.58</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.92</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0.11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eastAsia="仿宋_GB2312" w:cs="Droid Sans"/>
          <w:color w:val="auto"/>
          <w:sz w:val="32"/>
          <w:szCs w:val="32"/>
          <w:u w:val="none"/>
        </w:rPr>
        <w:t>落实政府“过紧日子”要求，进一步压减一般性支出。</w:t>
      </w:r>
    </w:p>
    <w:p w14:paraId="736B045B">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93D4A9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32E16EB">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olor w:val="auto"/>
          <w:sz w:val="32"/>
          <w:szCs w:val="32"/>
          <w:u w:val="none"/>
          <w:lang w:eastAsia="zh-CN"/>
        </w:rPr>
        <w:t>2025年北</w:t>
      </w:r>
      <w:r>
        <w:rPr>
          <w:rFonts w:hint="eastAsia" w:ascii="仿宋_GB2312" w:eastAsia="仿宋_GB2312"/>
          <w:color w:val="auto"/>
          <w:sz w:val="32"/>
          <w:szCs w:val="32"/>
          <w:u w:val="none"/>
          <w:lang w:val="en-US" w:eastAsia="zh-CN"/>
        </w:rPr>
        <w:t>京考古遗址博物馆</w:t>
      </w:r>
      <w:r>
        <w:rPr>
          <w:rFonts w:hint="eastAsia" w:ascii="仿宋_GB2312" w:eastAsia="仿宋_GB2312"/>
          <w:color w:val="auto"/>
          <w:sz w:val="32"/>
          <w:szCs w:val="32"/>
          <w:u w:val="none"/>
        </w:rPr>
        <w:t>采购预算总额</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807.38</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0.27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94.16</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472.95</w:t>
      </w:r>
      <w:r>
        <w:rPr>
          <w:rFonts w:hint="eastAsia" w:ascii="仿宋_GB2312" w:eastAsia="仿宋_GB2312"/>
          <w:color w:val="auto"/>
          <w:sz w:val="32"/>
          <w:szCs w:val="32"/>
          <w:u w:val="none"/>
        </w:rPr>
        <w:t>万元。</w:t>
      </w:r>
    </w:p>
    <w:p w14:paraId="4CBC6BD7">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0F4E3374">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olor w:val="auto"/>
          <w:sz w:val="32"/>
          <w:szCs w:val="32"/>
          <w:u w:val="none"/>
          <w:lang w:eastAsia="zh-CN"/>
        </w:rPr>
        <w:t>本单位2025年无政府购买服务预算。</w:t>
      </w:r>
    </w:p>
    <w:p w14:paraId="6D0A5712">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23167777">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hAnsi="Times New Roman" w:eastAsia="仿宋_GB2312"/>
          <w:sz w:val="32"/>
          <w:szCs w:val="32"/>
        </w:rPr>
        <w:t>本单位202</w:t>
      </w:r>
      <w:r>
        <w:rPr>
          <w:rFonts w:hint="eastAsia" w:ascii="仿宋_GB2312" w:eastAsia="仿宋_GB2312"/>
          <w:sz w:val="32"/>
          <w:szCs w:val="32"/>
          <w:lang w:val="en-US" w:eastAsia="zh-CN"/>
        </w:rPr>
        <w:t>5</w:t>
      </w:r>
      <w:r>
        <w:rPr>
          <w:rFonts w:hint="eastAsia" w:ascii="仿宋_GB2312" w:hAnsi="Times New Roman" w:eastAsia="仿宋_GB2312"/>
          <w:sz w:val="32"/>
          <w:szCs w:val="32"/>
        </w:rPr>
        <w:t>年无机关运行经费。</w:t>
      </w:r>
    </w:p>
    <w:p w14:paraId="55728C4A">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67047852">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hAnsi="Times New Roman" w:eastAsia="仿宋_GB2312"/>
          <w:sz w:val="32"/>
          <w:szCs w:val="32"/>
        </w:rPr>
        <w:t>北京考古遗址博物馆</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365.30</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p>
    <w:p w14:paraId="15233A6E">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69A19B62">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356EAD76">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1581F6B4">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0D45FC9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6BF8B04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val="en-US" w:eastAsia="zh-CN"/>
        </w:rPr>
        <w:t>北京考古遗址博物馆</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56.35</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2025年预算安排中，购置单位价值50万元以上的设备2台（套），共计122.80万元。</w:t>
      </w:r>
    </w:p>
    <w:p w14:paraId="08C5669A">
      <w:pPr>
        <w:spacing w:line="560" w:lineRule="exact"/>
        <w:ind w:firstLine="640" w:firstLineChars="200"/>
        <w:rPr>
          <w:rFonts w:hint="eastAsia" w:ascii="仿宋_GB2312" w:eastAsia="仿宋_GB2312"/>
          <w:color w:val="000000"/>
          <w:sz w:val="32"/>
          <w:szCs w:val="32"/>
          <w:u w:val="none"/>
        </w:rPr>
      </w:pPr>
      <w:r>
        <w:rPr>
          <w:rFonts w:hint="eastAsia" w:ascii="黑体" w:eastAsia="黑体"/>
          <w:color w:val="000000"/>
          <w:sz w:val="32"/>
          <w:szCs w:val="32"/>
          <w:u w:val="none"/>
        </w:rPr>
        <w:t>六、名词解释</w:t>
      </w:r>
    </w:p>
    <w:p w14:paraId="12B6A9F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F61E31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78557DC5">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7D7685AB">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5ED3068">
      <w:pPr>
        <w:spacing w:line="560" w:lineRule="exact"/>
        <w:ind w:firstLine="640" w:firstLineChars="200"/>
        <w:rPr>
          <w:rFonts w:hint="eastAsia" w:ascii="仿宋_GB2312" w:eastAsia="仿宋_GB2312"/>
          <w:color w:val="000000"/>
          <w:sz w:val="32"/>
          <w:szCs w:val="32"/>
          <w:u w:val="none"/>
        </w:rPr>
      </w:pPr>
    </w:p>
    <w:p w14:paraId="25F3E44C">
      <w:pPr>
        <w:spacing w:line="560" w:lineRule="exact"/>
        <w:ind w:firstLine="640" w:firstLineChars="200"/>
        <w:rPr>
          <w:rFonts w:hint="eastAsia" w:ascii="仿宋_GB2312" w:eastAsia="仿宋_GB2312"/>
          <w:color w:val="000000"/>
          <w:sz w:val="32"/>
          <w:szCs w:val="32"/>
          <w:u w:val="none"/>
        </w:rPr>
      </w:pPr>
    </w:p>
    <w:p w14:paraId="25C71D11">
      <w:pPr>
        <w:numPr>
          <w:ilvl w:val="0"/>
          <w:numId w:val="4"/>
        </w:num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66B8D003">
      <w:pPr>
        <w:numPr>
          <w:ilvl w:val="0"/>
          <w:numId w:val="0"/>
        </w:numPr>
        <w:spacing w:line="560" w:lineRule="exact"/>
        <w:jc w:val="both"/>
        <w:rPr>
          <w:rFonts w:hint="eastAsia" w:ascii="方正小标宋简体" w:eastAsia="方正小标宋简体"/>
          <w:color w:val="000000"/>
          <w:sz w:val="36"/>
          <w:szCs w:val="36"/>
          <w:u w:val="none"/>
        </w:rPr>
      </w:pPr>
    </w:p>
    <w:p w14:paraId="32FF67B7">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w:t>
      </w:r>
      <w:r>
        <w:rPr>
          <w:rFonts w:hint="eastAsia" w:ascii="仿宋_GB2312" w:eastAsia="仿宋_GB2312"/>
          <w:color w:val="000000"/>
          <w:sz w:val="32"/>
          <w:szCs w:val="32"/>
          <w:u w:val="none"/>
          <w:lang w:val="en-US" w:eastAsia="zh-CN"/>
        </w:rPr>
        <w:t>京考古遗址博物馆</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1211BD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05C8D4"/>
    <w:multiLevelType w:val="singleLevel"/>
    <w:tmpl w:val="C405C8D4"/>
    <w:lvl w:ilvl="0" w:tentative="0">
      <w:start w:val="2"/>
      <w:numFmt w:val="chineseCounting"/>
      <w:suff w:val="nothing"/>
      <w:lvlText w:val="（%1）"/>
      <w:lvlJc w:val="left"/>
      <w:rPr>
        <w:rFonts w:hint="eastAsia"/>
      </w:rPr>
    </w:lvl>
  </w:abstractNum>
  <w:abstractNum w:abstractNumId="1">
    <w:nsid w:val="F5EBE49A"/>
    <w:multiLevelType w:val="singleLevel"/>
    <w:tmpl w:val="F5EBE49A"/>
    <w:lvl w:ilvl="0" w:tentative="0">
      <w:start w:val="2"/>
      <w:numFmt w:val="decimal"/>
      <w:suff w:val="nothing"/>
      <w:lvlText w:val="（%1）"/>
      <w:lvlJc w:val="left"/>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abstractNum w:abstractNumId="3">
    <w:nsid w:val="01B62A1A"/>
    <w:multiLevelType w:val="singleLevel"/>
    <w:tmpl w:val="01B62A1A"/>
    <w:lvl w:ilvl="0" w:tentative="0">
      <w:start w:val="2"/>
      <w:numFmt w:val="chineseCounting"/>
      <w:suff w:val="space"/>
      <w:lvlText w:val="第%1部分"/>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30263"/>
    <w:rsid w:val="05E019A3"/>
    <w:rsid w:val="0C98512E"/>
    <w:rsid w:val="115B4B8E"/>
    <w:rsid w:val="116B2C80"/>
    <w:rsid w:val="143A6CDD"/>
    <w:rsid w:val="16A2220E"/>
    <w:rsid w:val="252948F5"/>
    <w:rsid w:val="258C4EBE"/>
    <w:rsid w:val="25E87F6B"/>
    <w:rsid w:val="262B0B7B"/>
    <w:rsid w:val="27257379"/>
    <w:rsid w:val="340906FB"/>
    <w:rsid w:val="3EEB2773"/>
    <w:rsid w:val="4FE15C83"/>
    <w:rsid w:val="528172AA"/>
    <w:rsid w:val="544D3CD3"/>
    <w:rsid w:val="570109B9"/>
    <w:rsid w:val="585264EC"/>
    <w:rsid w:val="5A9C67F8"/>
    <w:rsid w:val="5C403D31"/>
    <w:rsid w:val="664E34EF"/>
    <w:rsid w:val="69124385"/>
    <w:rsid w:val="699D27C3"/>
    <w:rsid w:val="70BE2E5C"/>
    <w:rsid w:val="733665B3"/>
    <w:rsid w:val="7B130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39321\Desktop\2025&#24180;&#39044;&#31639;&#20844;&#24320;\&#39044;&#31639;&#20844;&#24320;\2025&#24180;&#39044;&#31639;&#20844;&#24320;&#21046;&#22270;.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39321\Desktop\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收入预算</a:t>
            </a:r>
          </a:p>
        </c:rich>
      </c:tx>
      <c:layout/>
      <c:overlay val="0"/>
      <c:spPr>
        <a:noFill/>
        <a:ln>
          <a:noFill/>
        </a:ln>
        <a:effectLst/>
      </c:spPr>
    </c:title>
    <c:autoTitleDeleted val="0"/>
    <c:plotArea>
      <c:layout/>
      <c:pieChart>
        <c:varyColors val="1"/>
        <c:ser>
          <c:idx val="0"/>
          <c:order val="0"/>
          <c:spPr/>
          <c:explosion val="0"/>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[2025年预算公开制图.xlsx]Sheet1!$B$3:$B$6</c:f>
              <c:strCache>
                <c:ptCount val="4"/>
                <c:pt idx="0">
                  <c:v>一般公共预算拨款收入</c:v>
                </c:pt>
                <c:pt idx="1">
                  <c:v>事业收入</c:v>
                </c:pt>
                <c:pt idx="2">
                  <c:v>其他收入</c:v>
                </c:pt>
                <c:pt idx="3">
                  <c:v>上年结转结余</c:v>
                </c:pt>
              </c:strCache>
            </c:strRef>
          </c:cat>
          <c:val>
            <c:numRef>
              <c:f>[2025年预算公开制图.xlsx]Sheet1!$C$3:$C$6</c:f>
            </c:numRef>
          </c:val>
        </c:ser>
        <c:ser>
          <c:idx val="1"/>
          <c:order val="1"/>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dLbl>
              <c:idx val="0"/>
              <c:layout>
                <c:manualLayout>
                  <c:x val="-0.155921052631579"/>
                  <c:y val="-0.166666666666667"/>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71.14%</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manualLayout>
                      <c:w val="0.107105263157895"/>
                      <c:h val="0.128009259259259"/>
                    </c:manualLayout>
                  </c15:layout>
                </c:ext>
              </c:extLst>
            </c:dLbl>
            <c:dLbl>
              <c:idx val="1"/>
              <c:layout>
                <c:manualLayout>
                  <c:x val="0.114473684210526"/>
                  <c:y val="-0.062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0.22%</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dLbl>
              <c:idx val="2"/>
              <c:layout>
                <c:manualLayout>
                  <c:x val="0.221052631578947"/>
                  <c:y val="-0.104166666666667"/>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0.33%</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dLbl>
              <c:idx val="3"/>
              <c:layout>
                <c:manualLayout>
                  <c:x val="0.144078947368421"/>
                  <c:y val="0.12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28.31%</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[2025年预算公开制图.xlsx]Sheet1!$B$3:$B$6</c:f>
              <c:strCache>
                <c:ptCount val="4"/>
                <c:pt idx="0">
                  <c:v>一般公共预算拨款收入</c:v>
                </c:pt>
                <c:pt idx="1">
                  <c:v>事业收入</c:v>
                </c:pt>
                <c:pt idx="2">
                  <c:v>其他收入</c:v>
                </c:pt>
                <c:pt idx="3">
                  <c:v>上年结转结余</c:v>
                </c:pt>
              </c:strCache>
            </c:strRef>
          </c:cat>
          <c:val>
            <c:numRef>
              <c:f>[2025年预算公开制图.xlsx]Sheet1!$D$3:$D$6</c:f>
              <c:numCache>
                <c:formatCode>0.00%</c:formatCode>
                <c:ptCount val="4"/>
                <c:pt idx="0">
                  <c:v>0.711402169384448</c:v>
                </c:pt>
                <c:pt idx="1">
                  <c:v>0.00223394547162498</c:v>
                </c:pt>
                <c:pt idx="2">
                  <c:v>0.0033084732434766</c:v>
                </c:pt>
                <c:pt idx="3">
                  <c:v>0.283055411900451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988edaf5-1893-4f8e-b80c-278b91c81f86}"/>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支出预算</a:t>
            </a:r>
          </a:p>
        </c:rich>
      </c:tx>
      <c:layout/>
      <c:overlay val="0"/>
      <c:spPr>
        <a:noFill/>
        <a:ln>
          <a:noFill/>
        </a:ln>
        <a:effectLst/>
      </c:spPr>
    </c:title>
    <c:autoTitleDeleted val="0"/>
    <c:plotArea>
      <c:layout/>
      <c:pieChart>
        <c:varyColors val="1"/>
        <c:ser>
          <c:idx val="1"/>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[1.xlsx]Sheet2!$B$2:$B$3</c:f>
              <c:strCache>
                <c:ptCount val="2"/>
                <c:pt idx="0">
                  <c:v>基本支出</c:v>
                </c:pt>
                <c:pt idx="1">
                  <c:v>项目支出</c:v>
                </c:pt>
              </c:strCache>
            </c:strRef>
          </c:cat>
          <c:val>
            <c:numRef>
              <c:f>[1.xlsx]Sheet2!$C$2:$C$3</c:f>
              <c:numCache>
                <c:formatCode>0.00%</c:formatCode>
                <c:ptCount val="2"/>
                <c:pt idx="0">
                  <c:v>0.345433447498083</c:v>
                </c:pt>
                <c:pt idx="1">
                  <c:v>0.654566552501917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4234a808-e4ec-4463-9240-dd325f39cd4c}"/>
      </c:ext>
    </c:extLst>
  </c:chart>
  <c:spPr>
    <a:solidFill>
      <a:schemeClr val="bg1"/>
    </a:solidFill>
    <a:ln w="9525" cap="flat" cmpd="sng" algn="ctr">
      <a:solidFill>
        <a:schemeClr val="tx1">
          <a:lumMod val="50000"/>
          <a:lumOff val="50000"/>
          <a:alpha val="25000"/>
        </a:schemeClr>
      </a:solidFill>
      <a:round/>
    </a:ln>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8</Pages>
  <Words>2367</Words>
  <Characters>2710</Characters>
  <Lines>0</Lines>
  <Paragraphs>0</Paragraphs>
  <TotalTime>28</TotalTime>
  <ScaleCrop>false</ScaleCrop>
  <LinksUpToDate>false</LinksUpToDate>
  <CharactersWithSpaces>2735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2025-02-12T03:37:00Z</dcterms:created>
  <dc:creator>杨涛</dc:creator>
  <cp:lastModifiedBy>杨涛</cp:lastModifiedBy>
  <dcterms:modified xsi:type="dcterms:W3CDTF">2025-03-04T02:51:15Z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1AFDD0CE07504F43A3BDFB9975E99E0F_11</vt:lpwstr>
  </property>
  <property fmtid="{D5CDD505-2E9C-101B-9397-08002B2CF9AE}" pid="4" name="KSOTemplateDocerSaveRecord">
    <vt:lpwstr>eyJoZGlkIjoiNDc2NGYyNjI3ODIwNDMyNTU1NmM2NDhiYjViNDI4OGMiLCJ1c2VySWQiOiIyNzk3Nzc3NjAifQ==</vt:lpwstr>
  </property>
</Properties>
</file>