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lang w:eastAsia="zh-CN"/>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bookmarkStart w:id="0" w:name="_GoBack"/>
      <w:bookmarkEnd w:id="0"/>
      <w:r>
        <w:rPr>
          <w:rFonts w:hint="eastAsia" w:ascii="黑体" w:eastAsia="黑体"/>
          <w:sz w:val="72"/>
          <w:szCs w:val="72"/>
        </w:rPr>
        <w:t>2023年度部门决算</w:t>
      </w:r>
      <w:r>
        <w:rPr>
          <w:rFonts w:hint="eastAsia" w:ascii="黑体" w:eastAsia="黑体"/>
          <w:sz w:val="72"/>
          <w:szCs w:val="72"/>
          <w:lang w:eastAsia="zh-CN"/>
        </w:rPr>
        <w:t>公开</w:t>
      </w:r>
    </w:p>
    <w:p>
      <w:pPr>
        <w:pStyle w:val="2"/>
        <w:rPr>
          <w:rFonts w:hint="eastAsia" w:ascii="黑体" w:hAnsi="Times New Roman" w:eastAsia="黑体" w:cs="Times New Roman"/>
          <w:kern w:val="2"/>
          <w:sz w:val="72"/>
          <w:szCs w:val="72"/>
          <w:lang w:val="en-US" w:eastAsia="zh-CN" w:bidi="ar-SA"/>
        </w:rPr>
      </w:pPr>
    </w:p>
    <w:p>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北京市文物局本级行政</w:t>
      </w:r>
    </w:p>
    <w:p>
      <w:pPr>
        <w:pStyle w:val="2"/>
        <w:jc w:val="center"/>
      </w:pPr>
    </w:p>
    <w:p>
      <w:pPr>
        <w:jc w:val="center"/>
        <w:rPr>
          <w:rFonts w:ascii="黑体" w:eastAsia="黑体"/>
          <w:sz w:val="52"/>
          <w:szCs w:val="52"/>
        </w:rPr>
      </w:pPr>
    </w:p>
    <w:p>
      <w:pPr>
        <w:jc w:val="center"/>
        <w:rPr>
          <w:rFonts w:ascii="黑体" w:eastAsia="黑体"/>
          <w:sz w:val="52"/>
          <w:szCs w:val="52"/>
        </w:rPr>
      </w:pPr>
    </w:p>
    <w:p>
      <w:pPr>
        <w:jc w:val="both"/>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北京市文物局是负责本市文物和博物馆事业管理工作的市政府直属机构。上级业务主管部门为国家文物局。主要职责如下：</w:t>
      </w:r>
    </w:p>
    <w:p>
      <w:pPr>
        <w:pStyle w:val="2"/>
        <w:ind w:firstLine="560"/>
        <w:rPr>
          <w:rFonts w:ascii="仿宋_GB2312" w:eastAsia="仿宋_GB2312"/>
          <w:sz w:val="28"/>
          <w:szCs w:val="28"/>
        </w:rPr>
      </w:pPr>
      <w:r>
        <w:rPr>
          <w:rFonts w:hint="eastAsia" w:ascii="仿宋_GB2312" w:eastAsia="仿宋_GB2312"/>
          <w:sz w:val="28"/>
          <w:szCs w:val="28"/>
        </w:rPr>
        <w:t>（1）贯彻落实国家关于文物和博物馆工作方面的法律、法规、规章和政策，起草本市相关地方性法规草案、政府规章草案，并组织实施；拟订文物和博物馆事业发展规划，并组织实施；负责推动完善文物和博物馆公共服务体系建设；拟订文物和博物馆公共资源共享规划并推动实施。</w:t>
      </w:r>
    </w:p>
    <w:p>
      <w:pPr>
        <w:pStyle w:val="2"/>
        <w:ind w:firstLine="560"/>
        <w:rPr>
          <w:rFonts w:ascii="仿宋_GB2312" w:eastAsia="仿宋_GB2312"/>
          <w:sz w:val="28"/>
          <w:szCs w:val="28"/>
        </w:rPr>
      </w:pPr>
      <w:r>
        <w:rPr>
          <w:rFonts w:hint="eastAsia" w:ascii="仿宋_GB2312" w:eastAsia="仿宋_GB2312"/>
          <w:sz w:val="28"/>
          <w:szCs w:val="28"/>
        </w:rPr>
        <w:t>（2）负责本市世界文化遗产和文物保护单位管理工作，会同有关部门负责历史文化名城（镇、村）保护和监督管理工作，研究提出文物保护单位保护范围和建设控制地带的意见。</w:t>
      </w:r>
    </w:p>
    <w:p>
      <w:pPr>
        <w:pStyle w:val="2"/>
        <w:ind w:firstLine="560"/>
        <w:rPr>
          <w:rFonts w:ascii="仿宋_GB2312" w:eastAsia="仿宋_GB2312"/>
          <w:sz w:val="28"/>
          <w:szCs w:val="28"/>
        </w:rPr>
      </w:pPr>
      <w:r>
        <w:rPr>
          <w:rFonts w:hint="eastAsia" w:ascii="仿宋_GB2312" w:eastAsia="仿宋_GB2312"/>
          <w:sz w:val="28"/>
          <w:szCs w:val="28"/>
        </w:rPr>
        <w:t>（3）指导本市博物馆的业务工作，组织博物馆间的交流与协作，负责博物馆馆藏文物鉴定、登记、借用、调拨和交换的管理工作。</w:t>
      </w:r>
    </w:p>
    <w:p>
      <w:pPr>
        <w:pStyle w:val="2"/>
        <w:ind w:firstLine="560"/>
        <w:rPr>
          <w:rFonts w:ascii="仿宋_GB2312" w:eastAsia="仿宋_GB2312"/>
          <w:sz w:val="28"/>
          <w:szCs w:val="28"/>
        </w:rPr>
      </w:pPr>
      <w:r>
        <w:rPr>
          <w:rFonts w:hint="eastAsia" w:ascii="仿宋_GB2312" w:eastAsia="仿宋_GB2312"/>
          <w:sz w:val="28"/>
          <w:szCs w:val="28"/>
        </w:rPr>
        <w:t>（4）负责本市的考古调查、勘探和发掘工作；会同有关部门研究提出保护地下文物埋藏区的意见；负责出土文物的调用。</w:t>
      </w:r>
    </w:p>
    <w:p>
      <w:pPr>
        <w:pStyle w:val="2"/>
        <w:ind w:firstLine="560"/>
        <w:rPr>
          <w:rFonts w:ascii="仿宋_GB2312" w:eastAsia="仿宋_GB2312"/>
          <w:sz w:val="28"/>
          <w:szCs w:val="28"/>
        </w:rPr>
      </w:pPr>
      <w:r>
        <w:rPr>
          <w:rFonts w:hint="eastAsia" w:ascii="仿宋_GB2312" w:eastAsia="仿宋_GB2312"/>
          <w:sz w:val="28"/>
          <w:szCs w:val="28"/>
        </w:rPr>
        <w:t>（5）负责管理本市民间收藏文物及其流通活动；培育、引导和扶持文物和博物馆领域相关产业健康发展。</w:t>
      </w:r>
    </w:p>
    <w:p>
      <w:pPr>
        <w:pStyle w:val="2"/>
        <w:ind w:firstLine="560"/>
        <w:rPr>
          <w:rFonts w:ascii="仿宋_GB2312" w:eastAsia="仿宋_GB2312"/>
          <w:sz w:val="28"/>
          <w:szCs w:val="28"/>
        </w:rPr>
      </w:pPr>
      <w:r>
        <w:rPr>
          <w:rFonts w:hint="eastAsia" w:ascii="仿宋_GB2312" w:eastAsia="仿宋_GB2312"/>
          <w:sz w:val="28"/>
          <w:szCs w:val="28"/>
        </w:rPr>
        <w:t>（6）负责本市文物和博物馆有关审核、审批事务及相关资质资格认定的管理工作。</w:t>
      </w:r>
    </w:p>
    <w:p>
      <w:pPr>
        <w:pStyle w:val="2"/>
        <w:ind w:firstLine="560"/>
        <w:rPr>
          <w:rFonts w:ascii="仿宋_GB2312" w:eastAsia="仿宋_GB2312"/>
          <w:sz w:val="28"/>
          <w:szCs w:val="28"/>
        </w:rPr>
      </w:pPr>
      <w:r>
        <w:rPr>
          <w:rFonts w:hint="eastAsia" w:ascii="仿宋_GB2312" w:eastAsia="仿宋_GB2312"/>
          <w:sz w:val="28"/>
          <w:szCs w:val="28"/>
        </w:rPr>
        <w:t>（7）依法负责本市文物行政执法工作，组织查处有关文物的违法违章案件；承担文物和博物馆安全工作的管理责任。</w:t>
      </w:r>
    </w:p>
    <w:p>
      <w:pPr>
        <w:pStyle w:val="2"/>
        <w:ind w:firstLine="560"/>
        <w:rPr>
          <w:rFonts w:ascii="仿宋_GB2312" w:eastAsia="仿宋_GB2312"/>
          <w:sz w:val="28"/>
          <w:szCs w:val="28"/>
        </w:rPr>
      </w:pPr>
      <w:r>
        <w:rPr>
          <w:rFonts w:hint="eastAsia" w:ascii="仿宋_GB2312" w:eastAsia="仿宋_GB2312"/>
          <w:sz w:val="28"/>
          <w:szCs w:val="28"/>
        </w:rPr>
        <w:t>（8）负责本市文物保护的宣传工作；组织与国（境）内外的文物交流和展示活动。</w:t>
      </w:r>
    </w:p>
    <w:p>
      <w:pPr>
        <w:pStyle w:val="2"/>
        <w:ind w:firstLine="560"/>
        <w:rPr>
          <w:rFonts w:ascii="仿宋_GB2312" w:eastAsia="仿宋_GB2312"/>
          <w:sz w:val="28"/>
          <w:szCs w:val="28"/>
        </w:rPr>
      </w:pPr>
      <w:r>
        <w:rPr>
          <w:rFonts w:hint="eastAsia" w:ascii="仿宋_GB2312" w:eastAsia="仿宋_GB2312"/>
          <w:sz w:val="28"/>
          <w:szCs w:val="28"/>
        </w:rPr>
        <w:t>（9）规划、指导本市文物和博物馆领域专业人员培训工作；组织文物和博物馆领域科学研究及交流、文物科学保护工作。</w:t>
      </w:r>
    </w:p>
    <w:p>
      <w:pPr>
        <w:pStyle w:val="2"/>
        <w:ind w:firstLine="560"/>
        <w:rPr>
          <w:rFonts w:ascii="仿宋_GB2312" w:eastAsia="仿宋_GB2312"/>
          <w:sz w:val="28"/>
          <w:szCs w:val="28"/>
        </w:rPr>
      </w:pPr>
      <w:r>
        <w:rPr>
          <w:rFonts w:hint="eastAsia" w:ascii="仿宋_GB2312" w:eastAsia="仿宋_GB2312"/>
          <w:sz w:val="28"/>
          <w:szCs w:val="28"/>
        </w:rPr>
        <w:t>（10）承办市政府交办的其他事项。</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pStyle w:val="2"/>
        <w:ind w:firstLine="560"/>
        <w:rPr>
          <w:rFonts w:ascii="仿宋_GB2312" w:eastAsia="仿宋_GB2312"/>
          <w:sz w:val="28"/>
          <w:szCs w:val="28"/>
        </w:rPr>
      </w:pPr>
      <w:r>
        <w:rPr>
          <w:rFonts w:hint="eastAsia" w:ascii="仿宋_GB2312" w:eastAsia="仿宋_GB2312"/>
          <w:sz w:val="28"/>
          <w:szCs w:val="28"/>
        </w:rPr>
        <w:t>行政编制78人，实有人数84人（含纪检组6人）。</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2022年决算</w:t>
      </w:r>
      <w:r>
        <w:rPr>
          <w:rFonts w:hint="eastAsia" w:ascii="仿宋_GB2312" w:eastAsia="仿宋_GB2312"/>
          <w:sz w:val="28"/>
          <w:szCs w:val="28"/>
          <w:lang w:val="en-US" w:eastAsia="zh-CN"/>
        </w:rPr>
        <w:t>公开</w:t>
      </w:r>
      <w:r>
        <w:rPr>
          <w:rFonts w:hint="eastAsia" w:ascii="仿宋_GB2312" w:eastAsia="仿宋_GB2312"/>
          <w:sz w:val="28"/>
          <w:szCs w:val="28"/>
        </w:rPr>
        <w:t>数据收支总计包含本级行政和本级事业，2023年度决算</w:t>
      </w:r>
      <w:r>
        <w:rPr>
          <w:rFonts w:hint="eastAsia" w:ascii="仿宋_GB2312" w:eastAsia="仿宋_GB2312"/>
          <w:sz w:val="28"/>
          <w:szCs w:val="28"/>
          <w:lang w:val="en-US" w:eastAsia="zh-CN"/>
        </w:rPr>
        <w:t>公开</w:t>
      </w:r>
      <w:r>
        <w:rPr>
          <w:rFonts w:hint="eastAsia" w:ascii="仿宋_GB2312" w:eastAsia="仿宋_GB2312"/>
          <w:sz w:val="28"/>
          <w:szCs w:val="28"/>
        </w:rPr>
        <w:t>按本级行政汇总上报说明，具体情况如下：2023年度本级行政收、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4199.32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增加221.26万元，</w:t>
      </w:r>
      <w:r>
        <w:rPr>
          <w:rFonts w:hint="eastAsia" w:ascii="仿宋_GB2312" w:eastAsia="仿宋_GB2312"/>
          <w:sz w:val="28"/>
          <w:szCs w:val="28"/>
          <w:lang w:val="en-US" w:eastAsia="zh-CN"/>
        </w:rPr>
        <w:t>增长</w:t>
      </w:r>
      <w:r>
        <w:rPr>
          <w:rFonts w:hint="eastAsia" w:ascii="仿宋_GB2312" w:eastAsia="仿宋_GB2312"/>
          <w:sz w:val="28"/>
          <w:szCs w:val="28"/>
        </w:rPr>
        <w:t>5.56%。</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4197.77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增加282.18万元，</w:t>
      </w:r>
      <w:r>
        <w:rPr>
          <w:rFonts w:hint="eastAsia" w:ascii="仿宋_GB2312" w:eastAsia="仿宋_GB2312"/>
          <w:sz w:val="28"/>
          <w:szCs w:val="28"/>
          <w:lang w:val="en-US" w:eastAsia="zh-CN"/>
        </w:rPr>
        <w:t>增长</w:t>
      </w:r>
      <w:r>
        <w:rPr>
          <w:rFonts w:hint="eastAsia" w:ascii="仿宋_GB2312" w:eastAsia="仿宋_GB2312"/>
          <w:sz w:val="28"/>
          <w:szCs w:val="28"/>
        </w:rPr>
        <w:t>7.21%。</w:t>
      </w:r>
    </w:p>
    <w:p>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4196.8</w:t>
      </w:r>
      <w:r>
        <w:rPr>
          <w:rFonts w:hint="eastAsia" w:ascii="仿宋_GB2312" w:eastAsia="仿宋_GB2312"/>
          <w:sz w:val="28"/>
          <w:szCs w:val="28"/>
        </w:rPr>
        <w:t>万元，占收入合计的</w:t>
      </w:r>
      <w:r>
        <w:rPr>
          <w:rFonts w:ascii="仿宋_GB2312" w:eastAsia="仿宋_GB2312"/>
          <w:sz w:val="28"/>
          <w:szCs w:val="28"/>
        </w:rPr>
        <w:t>99.9</w:t>
      </w:r>
      <w:r>
        <w:rPr>
          <w:rFonts w:hint="eastAsia" w:ascii="仿宋_GB2312" w:eastAsia="仿宋_GB2312"/>
          <w:sz w:val="28"/>
          <w:szCs w:val="28"/>
        </w:rPr>
        <w:t>8%。其中：一般公共预算财政拨款收入</w:t>
      </w:r>
      <w:r>
        <w:rPr>
          <w:rFonts w:ascii="仿宋_GB2312" w:eastAsia="仿宋_GB2312"/>
          <w:sz w:val="28"/>
          <w:szCs w:val="28"/>
        </w:rPr>
        <w:t>4196.8</w:t>
      </w:r>
      <w:r>
        <w:rPr>
          <w:rFonts w:hint="eastAsia" w:ascii="仿宋_GB2312" w:eastAsia="仿宋_GB2312"/>
          <w:sz w:val="28"/>
          <w:szCs w:val="28"/>
        </w:rPr>
        <w:t>万元，占收入合计的</w:t>
      </w:r>
      <w:r>
        <w:rPr>
          <w:rFonts w:ascii="仿宋_GB2312" w:eastAsia="仿宋_GB2312"/>
          <w:sz w:val="28"/>
          <w:szCs w:val="28"/>
        </w:rPr>
        <w:t>99.9</w:t>
      </w:r>
      <w:r>
        <w:rPr>
          <w:rFonts w:hint="eastAsia" w:ascii="仿宋_GB2312" w:eastAsia="仿宋_GB2312"/>
          <w:sz w:val="28"/>
          <w:szCs w:val="28"/>
        </w:rPr>
        <w:t>8%；政府性基金预算财政拨款收入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0.97</w:t>
      </w:r>
      <w:r>
        <w:rPr>
          <w:rFonts w:hint="eastAsia" w:ascii="仿宋_GB2312" w:eastAsia="仿宋_GB2312"/>
          <w:sz w:val="28"/>
          <w:szCs w:val="28"/>
        </w:rPr>
        <w:t>万元，占收入合计的</w:t>
      </w:r>
      <w:r>
        <w:rPr>
          <w:rFonts w:ascii="仿宋_GB2312" w:eastAsia="仿宋_GB2312"/>
          <w:sz w:val="28"/>
          <w:szCs w:val="28"/>
        </w:rPr>
        <w:t>0.02</w:t>
      </w:r>
      <w:r>
        <w:rPr>
          <w:rFonts w:hint="eastAsia" w:ascii="仿宋_GB2312" w:eastAsia="仿宋_GB2312"/>
          <w:sz w:val="28"/>
          <w:szCs w:val="28"/>
        </w:rPr>
        <w:t>%。</w:t>
      </w:r>
    </w:p>
    <w:p>
      <w:pPr>
        <w:pStyle w:val="3"/>
        <w:jc w:val="center"/>
        <w:rPr>
          <w:rFonts w:hint="eastAsia"/>
        </w:rPr>
      </w:pPr>
      <w:r>
        <w:rPr>
          <w:rFonts w:hint="eastAsia" w:ascii="仿宋_GB2312" w:eastAsia="仿宋_GB2312"/>
          <w:color w:val="000000"/>
          <w:sz w:val="32"/>
        </w:rPr>
        <w:t>图1：收入决算</w:t>
      </w:r>
    </w:p>
    <w:p>
      <w:pPr>
        <w:pStyle w:val="2"/>
        <w:ind w:firstLine="420"/>
        <w:jc w:val="center"/>
      </w:pPr>
      <w: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4074.52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158.39万元，增长4.04%，其中：基本支出</w:t>
      </w:r>
      <w:r>
        <w:rPr>
          <w:rFonts w:ascii="仿宋_GB2312" w:eastAsia="仿宋_GB2312"/>
          <w:sz w:val="28"/>
          <w:szCs w:val="28"/>
        </w:rPr>
        <w:t>4057.88</w:t>
      </w:r>
      <w:r>
        <w:rPr>
          <w:rFonts w:hint="eastAsia" w:ascii="仿宋_GB2312" w:eastAsia="仿宋_GB2312"/>
          <w:sz w:val="28"/>
          <w:szCs w:val="28"/>
        </w:rPr>
        <w:t>万元，占支出合计的</w:t>
      </w:r>
      <w:r>
        <w:rPr>
          <w:rFonts w:ascii="仿宋_GB2312" w:eastAsia="仿宋_GB2312"/>
          <w:sz w:val="28"/>
          <w:szCs w:val="28"/>
        </w:rPr>
        <w:t>99.59</w:t>
      </w:r>
      <w:r>
        <w:rPr>
          <w:rFonts w:hint="eastAsia" w:ascii="仿宋_GB2312" w:eastAsia="仿宋_GB2312"/>
          <w:sz w:val="28"/>
          <w:szCs w:val="28"/>
        </w:rPr>
        <w:t>%；项目支出</w:t>
      </w:r>
      <w:r>
        <w:rPr>
          <w:rFonts w:ascii="仿宋_GB2312" w:eastAsia="仿宋_GB2312"/>
          <w:sz w:val="28"/>
          <w:szCs w:val="28"/>
        </w:rPr>
        <w:t>16.64</w:t>
      </w:r>
      <w:r>
        <w:rPr>
          <w:rFonts w:hint="eastAsia" w:ascii="仿宋_GB2312" w:eastAsia="仿宋_GB2312"/>
          <w:sz w:val="28"/>
          <w:szCs w:val="28"/>
        </w:rPr>
        <w:t>万元，占支出合计的</w:t>
      </w:r>
      <w:r>
        <w:rPr>
          <w:rFonts w:ascii="仿宋_GB2312" w:eastAsia="仿宋_GB2312"/>
          <w:sz w:val="28"/>
          <w:szCs w:val="28"/>
        </w:rPr>
        <w:t>0.4</w:t>
      </w:r>
      <w:r>
        <w:rPr>
          <w:rFonts w:hint="eastAsia" w:ascii="仿宋_GB2312" w:eastAsia="仿宋_GB2312"/>
          <w:sz w:val="28"/>
          <w:szCs w:val="28"/>
        </w:rPr>
        <w:t>1%;上缴上级支出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4196.8</w:t>
      </w:r>
      <w:r>
        <w:rPr>
          <w:rFonts w:hint="eastAsia" w:ascii="仿宋_GB2312" w:eastAsia="仿宋_GB2312"/>
          <w:sz w:val="28"/>
          <w:szCs w:val="28"/>
        </w:rPr>
        <w:t>万元，比上年增加211.39万元，上升5.3%。主要原因：工资结构调整、去世人员抚恤金、职工干部养老金基数调整导致经费增加。</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2023年度一般公共预算财政拨款支出</w:t>
      </w:r>
      <w:r>
        <w:rPr>
          <w:rFonts w:ascii="仿宋_GB2312" w:eastAsia="仿宋_GB2312"/>
          <w:sz w:val="28"/>
          <w:szCs w:val="28"/>
        </w:rPr>
        <w:t>4072.01</w:t>
      </w:r>
      <w:r>
        <w:rPr>
          <w:rFonts w:hint="eastAsia" w:ascii="仿宋_GB2312" w:eastAsia="仿宋_GB2312"/>
          <w:sz w:val="28"/>
          <w:szCs w:val="28"/>
        </w:rPr>
        <w:t>万元，主要用于以下方面（按大类）：文化旅游体育与传媒支出3917.98万元，占本年财政拨款支出96.22%；社会保障和就业支出154.03万元，占本年财政拨款支出3.78%。</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1、“文化旅游体育与传媒支出”（类）2023年度决算3917.98万元，比2023年度年初预算减少465.76万元，下降10.62%。其中：</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“文物”（款）2023年度决算3917.98万元，比2023年度年初预算减少465.76万元，下降10.62%。主要原因：落实市委市政府关于过紧日子的要求，压减一般性支出和非紧急非必需支出。</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2、“社会保障和就业支出”(类)2023年度决算154.03万元，比2023年度年初预算减少10.02万元，下降6.11%。其中：</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“行政事业单位养老支出”（款）2023年度决算154.03万元，比2023年度年初预算减少10.02万元，下降6.11%。主要原因：离休干部人员减少，导致支出减少。</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本年度无此项经费支出。</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本年度无此项经费支出。</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4055.36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rPr>
        <w:t>1</w:t>
      </w:r>
      <w:r>
        <w:rPr>
          <w:rFonts w:hint="eastAsia" w:ascii="仿宋_GB2312" w:eastAsia="仿宋_GB2312"/>
          <w:sz w:val="28"/>
          <w:szCs w:val="28"/>
        </w:rPr>
        <w:t>个行政单位。2023年度“三公”经费财政拨款决算数</w:t>
      </w:r>
      <w:r>
        <w:rPr>
          <w:rFonts w:ascii="仿宋_GB2312" w:eastAsia="仿宋_GB2312"/>
          <w:sz w:val="28"/>
          <w:szCs w:val="28"/>
        </w:rPr>
        <w:t>34.9</w:t>
      </w:r>
      <w:r>
        <w:rPr>
          <w:rFonts w:hint="eastAsia" w:ascii="仿宋_GB2312" w:eastAsia="仿宋_GB2312"/>
          <w:sz w:val="28"/>
          <w:szCs w:val="28"/>
        </w:rPr>
        <w:t>万元，比2023年度“三公”经费财政拨款年初预算</w:t>
      </w:r>
      <w:r>
        <w:rPr>
          <w:rFonts w:ascii="仿宋_GB2312" w:eastAsia="仿宋_GB2312"/>
          <w:sz w:val="28"/>
          <w:szCs w:val="28"/>
        </w:rPr>
        <w:t>39.01</w:t>
      </w:r>
      <w:r>
        <w:rPr>
          <w:rFonts w:hint="eastAsia" w:ascii="仿宋_GB2312" w:eastAsia="仿宋_GB2312"/>
          <w:sz w:val="28"/>
          <w:szCs w:val="28"/>
        </w:rPr>
        <w:t>万元减少</w:t>
      </w:r>
      <w:r>
        <w:rPr>
          <w:rFonts w:ascii="仿宋_GB2312" w:eastAsia="仿宋_GB2312"/>
          <w:sz w:val="28"/>
          <w:szCs w:val="28"/>
        </w:rPr>
        <w:t>4.11</w:t>
      </w:r>
      <w:r>
        <w:rPr>
          <w:rFonts w:hint="eastAsia" w:ascii="仿宋_GB2312" w:eastAsia="仿宋_GB2312"/>
          <w:sz w:val="28"/>
          <w:szCs w:val="28"/>
        </w:rPr>
        <w:t>万元。其中：</w:t>
      </w:r>
    </w:p>
    <w:p>
      <w:pPr>
        <w:spacing w:line="560" w:lineRule="exact"/>
        <w:ind w:firstLine="600"/>
        <w:rPr>
          <w:rFonts w:ascii="仿宋_GB2312" w:eastAsia="仿宋_GB2312"/>
          <w:sz w:val="28"/>
          <w:szCs w:val="28"/>
        </w:rPr>
      </w:pPr>
      <w:r>
        <w:rPr>
          <w:rFonts w:hint="eastAsia" w:ascii="仿宋_GB2312" w:eastAsia="仿宋_GB2312"/>
          <w:sz w:val="28"/>
          <w:szCs w:val="28"/>
        </w:rPr>
        <w:t>1.因公出国（境）费用。因公出国（境）费用</w:t>
      </w:r>
      <w:r>
        <w:rPr>
          <w:rFonts w:hint="eastAsia" w:ascii="仿宋_GB2312" w:eastAsia="仿宋_GB2312"/>
          <w:sz w:val="28"/>
          <w:szCs w:val="28"/>
          <w:lang w:val="en-US" w:eastAsia="zh-CN"/>
        </w:rPr>
        <w:t>在北京市文物局本级事业经费中反映</w:t>
      </w:r>
      <w:r>
        <w:rPr>
          <w:rFonts w:hint="eastAsia" w:ascii="仿宋_GB2312" w:eastAsia="仿宋_GB2312"/>
          <w:sz w:val="28"/>
          <w:szCs w:val="28"/>
        </w:rPr>
        <w:t>。</w:t>
      </w:r>
    </w:p>
    <w:p>
      <w:pPr>
        <w:spacing w:line="560" w:lineRule="exact"/>
        <w:ind w:firstLine="600"/>
        <w:rPr>
          <w:rFonts w:ascii="仿宋_GB2312" w:eastAsia="仿宋_GB2312"/>
          <w:sz w:val="28"/>
          <w:szCs w:val="28"/>
        </w:rPr>
      </w:pPr>
      <w:r>
        <w:rPr>
          <w:rFonts w:hint="eastAsia" w:ascii="仿宋_GB2312" w:eastAsia="仿宋_GB2312"/>
          <w:sz w:val="28"/>
          <w:szCs w:val="28"/>
        </w:rPr>
        <w:t>2.公务接待费。2023年度决算数</w:t>
      </w:r>
      <w:r>
        <w:rPr>
          <w:rFonts w:ascii="仿宋_GB2312" w:eastAsia="仿宋_GB2312"/>
          <w:sz w:val="28"/>
          <w:szCs w:val="28"/>
        </w:rPr>
        <w:t>0.66</w:t>
      </w:r>
      <w:r>
        <w:rPr>
          <w:rFonts w:hint="eastAsia" w:ascii="仿宋_GB2312" w:eastAsia="仿宋_GB2312"/>
          <w:sz w:val="28"/>
          <w:szCs w:val="28"/>
        </w:rPr>
        <w:t>万元，比2023年度年初预算数</w:t>
      </w:r>
      <w:r>
        <w:rPr>
          <w:rFonts w:ascii="仿宋_GB2312" w:eastAsia="仿宋_GB2312"/>
          <w:sz w:val="28"/>
          <w:szCs w:val="28"/>
        </w:rPr>
        <w:t>1.9</w:t>
      </w:r>
      <w:r>
        <w:rPr>
          <w:rFonts w:hint="eastAsia" w:ascii="仿宋_GB2312" w:eastAsia="仿宋_GB2312"/>
          <w:sz w:val="28"/>
          <w:szCs w:val="28"/>
        </w:rPr>
        <w:t>万元减少1.24万元。主要原因：严格执行国家</w:t>
      </w:r>
      <w:r>
        <w:rPr>
          <w:rFonts w:hint="eastAsia" w:ascii="仿宋_GB2312" w:eastAsia="仿宋_GB2312"/>
          <w:sz w:val="28"/>
          <w:szCs w:val="28"/>
          <w:lang w:eastAsia="zh-CN"/>
        </w:rPr>
        <w:t>中央八项规定</w:t>
      </w:r>
      <w:r>
        <w:rPr>
          <w:rFonts w:hint="eastAsia" w:ascii="仿宋_GB2312" w:eastAsia="仿宋_GB2312"/>
          <w:sz w:val="28"/>
          <w:szCs w:val="28"/>
        </w:rPr>
        <w:t>，坚持厉行节约开支。2023年度公务接待费主要用于文博单位业务交流等。公务接待150批次，公务接待220人次。</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3.公务用车购置及运行维护费。2023年度决算数34.23万元，比2023年度年初预算数37.11万元减少2.88万元。</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其中，公务用车购置费2023年度决算数</w:t>
      </w:r>
      <w:r>
        <w:rPr>
          <w:rFonts w:ascii="仿宋_GB2312" w:eastAsia="仿宋_GB2312"/>
          <w:sz w:val="28"/>
          <w:szCs w:val="28"/>
        </w:rPr>
        <w:t>15.29</w:t>
      </w:r>
      <w:r>
        <w:rPr>
          <w:rFonts w:hint="eastAsia" w:ascii="仿宋_GB2312" w:eastAsia="仿宋_GB2312"/>
          <w:sz w:val="28"/>
          <w:szCs w:val="28"/>
        </w:rPr>
        <w:t>万元，比2023年度年初预算数</w:t>
      </w:r>
      <w:r>
        <w:rPr>
          <w:rFonts w:ascii="仿宋_GB2312" w:eastAsia="仿宋_GB2312"/>
          <w:sz w:val="28"/>
          <w:szCs w:val="28"/>
        </w:rPr>
        <w:t>16.65</w:t>
      </w:r>
      <w:r>
        <w:rPr>
          <w:rFonts w:hint="eastAsia" w:ascii="仿宋_GB2312" w:eastAsia="仿宋_GB2312"/>
          <w:sz w:val="28"/>
          <w:szCs w:val="28"/>
        </w:rPr>
        <w:t>万元减少</w:t>
      </w:r>
      <w:r>
        <w:rPr>
          <w:rFonts w:ascii="仿宋_GB2312" w:eastAsia="仿宋_GB2312"/>
          <w:sz w:val="28"/>
          <w:szCs w:val="28"/>
        </w:rPr>
        <w:t>1.36</w:t>
      </w:r>
      <w:r>
        <w:rPr>
          <w:rFonts w:hint="eastAsia" w:ascii="仿宋_GB2312" w:eastAsia="仿宋_GB2312"/>
          <w:sz w:val="28"/>
          <w:szCs w:val="28"/>
        </w:rPr>
        <w:t>万元。主要原因：车辆单价下降，购车经费减少，2023年度购置（更新）1辆，车均购置费15.29万元。公务用车运行维护费2023年度决算数</w:t>
      </w:r>
      <w:r>
        <w:rPr>
          <w:rFonts w:ascii="仿宋_GB2312" w:eastAsia="仿宋_GB2312"/>
          <w:sz w:val="28"/>
          <w:szCs w:val="28"/>
        </w:rPr>
        <w:t>18.94</w:t>
      </w:r>
      <w:r>
        <w:rPr>
          <w:rFonts w:hint="eastAsia" w:ascii="仿宋_GB2312" w:eastAsia="仿宋_GB2312"/>
          <w:sz w:val="28"/>
          <w:szCs w:val="28"/>
        </w:rPr>
        <w:t>万元，比2023年度年初预算数</w:t>
      </w:r>
      <w:r>
        <w:rPr>
          <w:rFonts w:ascii="仿宋_GB2312" w:eastAsia="仿宋_GB2312"/>
          <w:sz w:val="28"/>
          <w:szCs w:val="28"/>
        </w:rPr>
        <w:t>20.46</w:t>
      </w:r>
      <w:r>
        <w:rPr>
          <w:rFonts w:hint="eastAsia" w:ascii="仿宋_GB2312" w:eastAsia="仿宋_GB2312"/>
          <w:sz w:val="28"/>
          <w:szCs w:val="28"/>
        </w:rPr>
        <w:t>万元减少1.52万元，主要原因：落实过“紧日子”要求，压缩一般性支出。2023年度公务用车运行维护费中，公务用车加油</w:t>
      </w:r>
      <w:r>
        <w:rPr>
          <w:rFonts w:ascii="仿宋_GB2312" w:eastAsia="仿宋_GB2312"/>
          <w:sz w:val="28"/>
          <w:szCs w:val="28"/>
        </w:rPr>
        <w:t>6.77</w:t>
      </w:r>
      <w:r>
        <w:rPr>
          <w:rFonts w:hint="eastAsia" w:ascii="仿宋_GB2312" w:eastAsia="仿宋_GB2312"/>
          <w:sz w:val="28"/>
          <w:szCs w:val="28"/>
        </w:rPr>
        <w:t>万元，公务用车维修</w:t>
      </w:r>
      <w:r>
        <w:rPr>
          <w:rFonts w:ascii="仿宋_GB2312" w:eastAsia="仿宋_GB2312"/>
          <w:sz w:val="28"/>
          <w:szCs w:val="28"/>
        </w:rPr>
        <w:t>6.48</w:t>
      </w:r>
      <w:r>
        <w:rPr>
          <w:rFonts w:hint="eastAsia" w:ascii="仿宋_GB2312" w:eastAsia="仿宋_GB2312"/>
          <w:sz w:val="28"/>
          <w:szCs w:val="28"/>
        </w:rPr>
        <w:t>万元，公务用车保险</w:t>
      </w:r>
      <w:r>
        <w:rPr>
          <w:rFonts w:ascii="仿宋_GB2312" w:eastAsia="仿宋_GB2312"/>
          <w:sz w:val="28"/>
          <w:szCs w:val="28"/>
        </w:rPr>
        <w:t>4.04</w:t>
      </w:r>
      <w:r>
        <w:rPr>
          <w:rFonts w:hint="eastAsia" w:ascii="仿宋_GB2312" w:eastAsia="仿宋_GB2312"/>
          <w:sz w:val="28"/>
          <w:szCs w:val="28"/>
        </w:rPr>
        <w:t>万元，公务用车其他支出</w:t>
      </w:r>
      <w:r>
        <w:rPr>
          <w:rFonts w:ascii="仿宋_GB2312" w:eastAsia="仿宋_GB2312"/>
          <w:sz w:val="28"/>
          <w:szCs w:val="28"/>
        </w:rPr>
        <w:t>1.65</w:t>
      </w:r>
      <w:r>
        <w:rPr>
          <w:rFonts w:hint="eastAsia" w:ascii="仿宋_GB2312" w:eastAsia="仿宋_GB2312"/>
          <w:sz w:val="28"/>
          <w:szCs w:val="28"/>
        </w:rPr>
        <w:t>万元。2023年度公务用车保有量11辆，车均运行维护费1.72万元。</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ascii="仿宋_GB2312" w:eastAsia="仿宋_GB2312"/>
          <w:sz w:val="28"/>
          <w:szCs w:val="28"/>
        </w:rPr>
      </w:pPr>
      <w:r>
        <w:rPr>
          <w:rFonts w:hint="eastAsia" w:ascii="仿宋_GB2312" w:eastAsia="仿宋_GB2312"/>
          <w:sz w:val="28"/>
          <w:szCs w:val="28"/>
        </w:rPr>
        <w:t>2023年度使用财政拨款安排的基本支出中的日常公用经费支出，合计411.43万元，比上年增加35.91万元，增加原因：文物局作为第二批搬迁城市副中心单位，使用公用经费对新办公区室内进行强弱电线路改造。</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36.09</w:t>
      </w:r>
      <w:r>
        <w:rPr>
          <w:rFonts w:hint="eastAsia" w:ascii="仿宋_GB2312" w:eastAsia="仿宋_GB2312"/>
          <w:sz w:val="28"/>
          <w:szCs w:val="28"/>
        </w:rPr>
        <w:t>万元，其中：政府采购货物支出</w:t>
      </w:r>
      <w:r>
        <w:rPr>
          <w:rFonts w:ascii="仿宋_GB2312" w:eastAsia="仿宋_GB2312"/>
          <w:sz w:val="28"/>
          <w:szCs w:val="28"/>
        </w:rPr>
        <w:t>17.03</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19.05</w:t>
      </w:r>
      <w:r>
        <w:rPr>
          <w:rFonts w:hint="eastAsia" w:ascii="仿宋_GB2312" w:eastAsia="仿宋_GB2312"/>
          <w:sz w:val="28"/>
          <w:szCs w:val="28"/>
        </w:rPr>
        <w:t>万元。授予中小企业合同金额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0</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0</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2023年度新购置车辆1台，共计15.29万元；新购置单位价值100万元（含）以上的设备0台（套），共计0万元。截至12月31日，北京市文物局本级共有车辆11台，共计228.14万元；单位价值100万元（含）以上的设备1台（套），共计200.16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2023年度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632" w:firstLineChars="200"/>
        <w:rPr>
          <w:rFonts w:ascii="仿宋_GB2312" w:eastAsia="仿宋_GB2312"/>
          <w:b w:val="0"/>
          <w:bCs/>
          <w:color w:val="000000"/>
          <w:spacing w:val="-2"/>
          <w:sz w:val="32"/>
          <w:szCs w:val="32"/>
        </w:rPr>
      </w:pPr>
      <w:r>
        <w:rPr>
          <w:rFonts w:hint="eastAsia" w:ascii="仿宋_GB2312" w:eastAsia="仿宋_GB2312"/>
          <w:b w:val="0"/>
          <w:bCs/>
          <w:color w:val="000000"/>
          <w:spacing w:val="-2"/>
          <w:sz w:val="32"/>
          <w:szCs w:val="32"/>
        </w:rPr>
        <w:t>7.当年使用的所有支出功能分类项级科目名词解释，</w:t>
      </w:r>
    </w:p>
    <w:p>
      <w:pPr>
        <w:ind w:firstLine="420" w:firstLineChars="150"/>
        <w:rPr>
          <w:rFonts w:ascii="仿宋_GB2312" w:eastAsia="仿宋_GB2312"/>
          <w:sz w:val="28"/>
          <w:szCs w:val="28"/>
        </w:rPr>
      </w:pPr>
      <w:r>
        <w:rPr>
          <w:rFonts w:hint="eastAsia" w:ascii="仿宋_GB2312" w:eastAsia="仿宋_GB2312"/>
          <w:sz w:val="28"/>
          <w:szCs w:val="28"/>
        </w:rPr>
        <w:t>（1）文化旅游体育与传媒支出（类）文物（款）行政运行（项）：反映行政单位（包括实行公务员管理的事业单位）的基本支出。</w:t>
      </w:r>
    </w:p>
    <w:p>
      <w:pPr>
        <w:ind w:firstLine="420" w:firstLineChars="150"/>
        <w:rPr>
          <w:rFonts w:ascii="仿宋_GB2312" w:eastAsia="仿宋_GB2312"/>
          <w:sz w:val="28"/>
          <w:szCs w:val="28"/>
        </w:rPr>
      </w:pPr>
      <w:r>
        <w:rPr>
          <w:rFonts w:hint="eastAsia" w:ascii="仿宋_GB2312" w:eastAsia="仿宋_GB2312"/>
          <w:sz w:val="28"/>
          <w:szCs w:val="28"/>
        </w:rPr>
        <w:t>（2）文化旅游体育与传媒支出（类）文物（款）其他文物支出（项）：反映除上述项目以外其他用于文物方面的支出。</w:t>
      </w:r>
    </w:p>
    <w:p>
      <w:pPr>
        <w:ind w:firstLine="420" w:firstLineChars="150"/>
        <w:rPr>
          <w:rFonts w:ascii="仿宋_GB2312" w:eastAsia="仿宋_GB2312"/>
          <w:sz w:val="28"/>
          <w:szCs w:val="28"/>
        </w:rPr>
      </w:pPr>
      <w:r>
        <w:rPr>
          <w:rFonts w:hint="eastAsia" w:ascii="仿宋_GB2312" w:eastAsia="仿宋_GB2312"/>
          <w:sz w:val="28"/>
          <w:szCs w:val="28"/>
        </w:rPr>
        <w:t>（3）社会保障和就业支出（类）行政事业单位养老支出（款）行政单位离退休（项）：反映行政单位（包括实行公务员管理的事业单位）开支的离退休经费。</w:t>
      </w:r>
    </w:p>
    <w:p>
      <w:pPr>
        <w:pStyle w:val="2"/>
        <w:ind w:firstLine="634"/>
        <w:rPr>
          <w:rFonts w:ascii="仿宋_GB2312" w:eastAsia="仿宋_GB2312"/>
          <w:b/>
          <w:color w:val="000000"/>
          <w:spacing w:val="-2"/>
          <w:sz w:val="32"/>
          <w:szCs w:val="32"/>
        </w:rPr>
      </w:pPr>
    </w:p>
    <w:p>
      <w:pPr>
        <w:rPr>
          <w:rFonts w:ascii="仿宋_GB2312" w:eastAsia="仿宋_GB2312"/>
          <w:sz w:val="28"/>
          <w:szCs w:val="28"/>
        </w:rPr>
      </w:pPr>
    </w:p>
    <w:p>
      <w:pPr>
        <w:ind w:firstLine="632" w:firstLineChars="200"/>
        <w:rPr>
          <w:rFonts w:ascii="仿宋_GB2312" w:eastAsia="仿宋_GB2312"/>
          <w:b/>
          <w:color w:val="000000"/>
          <w:spacing w:val="-2"/>
          <w:sz w:val="32"/>
          <w:szCs w:val="32"/>
        </w:rPr>
      </w:pPr>
    </w:p>
    <w:p>
      <w:pPr>
        <w:pStyle w:val="2"/>
        <w:rPr>
          <w:rFonts w:ascii="仿宋_GB2312" w:eastAsia="仿宋_GB2312"/>
          <w:b/>
          <w:color w:val="000000"/>
          <w:spacing w:val="-2"/>
          <w:sz w:val="32"/>
          <w:szCs w:val="32"/>
        </w:rPr>
      </w:pPr>
    </w:p>
    <w:p>
      <w:pPr>
        <w:pStyle w:val="2"/>
        <w:rPr>
          <w:rFonts w:ascii="仿宋_GB2312" w:eastAsia="仿宋_GB2312"/>
          <w:b/>
          <w:color w:val="000000"/>
          <w:spacing w:val="-2"/>
          <w:sz w:val="32"/>
          <w:szCs w:val="32"/>
        </w:rPr>
      </w:pPr>
    </w:p>
    <w:p>
      <w:pPr>
        <w:pStyle w:val="2"/>
        <w:rPr>
          <w:rFonts w:ascii="仿宋_GB2312" w:eastAsia="仿宋_GB2312"/>
          <w:b/>
          <w:color w:val="000000"/>
          <w:spacing w:val="-2"/>
          <w:sz w:val="32"/>
          <w:szCs w:val="32"/>
        </w:rPr>
      </w:pPr>
    </w:p>
    <w:p>
      <w:pPr>
        <w:pStyle w:val="2"/>
        <w:rPr>
          <w:rFonts w:ascii="仿宋_GB2312" w:eastAsia="仿宋_GB2312"/>
          <w:b/>
          <w:color w:val="000000"/>
          <w:spacing w:val="-2"/>
          <w:sz w:val="32"/>
          <w:szCs w:val="32"/>
        </w:rPr>
      </w:pPr>
    </w:p>
    <w:p>
      <w:pPr>
        <w:pStyle w:val="2"/>
        <w:rPr>
          <w:rFonts w:ascii="仿宋_GB2312" w:eastAsia="仿宋_GB2312"/>
          <w:b/>
          <w:color w:val="000000"/>
          <w:spacing w:val="-2"/>
          <w:sz w:val="32"/>
          <w:szCs w:val="32"/>
        </w:rPr>
      </w:pPr>
    </w:p>
    <w:p>
      <w:pPr>
        <w:pStyle w:val="2"/>
        <w:rPr>
          <w:rFonts w:ascii="仿宋_GB2312" w:eastAsia="仿宋_GB2312"/>
          <w:b/>
          <w:color w:val="000000"/>
          <w:spacing w:val="-2"/>
          <w:sz w:val="32"/>
          <w:szCs w:val="32"/>
        </w:rPr>
      </w:pPr>
    </w:p>
    <w:p>
      <w:pPr>
        <w:pStyle w:val="2"/>
        <w:rPr>
          <w:rFonts w:ascii="仿宋_GB2312" w:eastAsia="仿宋_GB2312"/>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pPr>
        <w:ind w:firstLine="560" w:firstLineChars="200"/>
        <w:rPr>
          <w:rFonts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rPr>
        <w:t>一、项目</w:t>
      </w:r>
      <w:r>
        <w:rPr>
          <w:rFonts w:ascii="黑体" w:eastAsia="黑体"/>
          <w:sz w:val="28"/>
          <w:szCs w:val="28"/>
        </w:rPr>
        <w:t>支出绩效自评表</w:t>
      </w:r>
      <w:r>
        <w:rPr>
          <w:rFonts w:hint="eastAsia" w:ascii="黑体" w:eastAsia="黑体"/>
          <w:sz w:val="28"/>
          <w:szCs w:val="28"/>
        </w:rPr>
        <w:t>（详见附件）</w:t>
      </w:r>
    </w:p>
    <w:tbl>
      <w:tblPr>
        <w:tblStyle w:val="10"/>
        <w:tblW w:w="12120" w:type="dxa"/>
        <w:jc w:val="center"/>
        <w:tblLayout w:type="autofit"/>
        <w:tblCellMar>
          <w:top w:w="0" w:type="dxa"/>
          <w:left w:w="108" w:type="dxa"/>
          <w:bottom w:w="0" w:type="dxa"/>
          <w:right w:w="108" w:type="dxa"/>
        </w:tblCellMar>
      </w:tblPr>
      <w:tblGrid>
        <w:gridCol w:w="520"/>
        <w:gridCol w:w="600"/>
        <w:gridCol w:w="940"/>
        <w:gridCol w:w="2020"/>
        <w:gridCol w:w="1240"/>
        <w:gridCol w:w="1180"/>
        <w:gridCol w:w="1360"/>
        <w:gridCol w:w="1000"/>
        <w:gridCol w:w="1000"/>
        <w:gridCol w:w="2260"/>
      </w:tblGrid>
      <w:tr>
        <w:tblPrEx>
          <w:tblCellMar>
            <w:top w:w="0" w:type="dxa"/>
            <w:left w:w="108" w:type="dxa"/>
            <w:bottom w:w="0" w:type="dxa"/>
            <w:right w:w="108" w:type="dxa"/>
          </w:tblCellMar>
        </w:tblPrEx>
        <w:trPr>
          <w:trHeight w:val="405" w:hRule="atLeast"/>
          <w:jc w:val="center"/>
        </w:trPr>
        <w:tc>
          <w:tcPr>
            <w:tcW w:w="12120" w:type="dxa"/>
            <w:gridSpan w:val="10"/>
            <w:tcBorders>
              <w:top w:val="nil"/>
              <w:left w:val="nil"/>
              <w:bottom w:val="nil"/>
              <w:right w:val="nil"/>
            </w:tcBorders>
            <w:shd w:val="clear" w:color="auto" w:fill="auto"/>
            <w:vAlign w:val="center"/>
          </w:tcPr>
          <w:p>
            <w:pPr>
              <w:widowControl/>
              <w:jc w:val="center"/>
              <w:rPr>
                <w:rFonts w:ascii="宋体" w:hAnsi="宋体" w:cs="宋体"/>
                <w:kern w:val="0"/>
                <w:sz w:val="28"/>
                <w:szCs w:val="28"/>
              </w:rPr>
            </w:pPr>
            <w:r>
              <w:rPr>
                <w:rFonts w:hint="eastAsia" w:ascii="宋体" w:hAnsi="宋体" w:cs="宋体"/>
                <w:kern w:val="0"/>
                <w:sz w:val="28"/>
                <w:szCs w:val="28"/>
              </w:rPr>
              <w:t>项目支出绩效自评表</w:t>
            </w:r>
          </w:p>
        </w:tc>
      </w:tr>
      <w:tr>
        <w:tblPrEx>
          <w:tblCellMar>
            <w:top w:w="0" w:type="dxa"/>
            <w:left w:w="108" w:type="dxa"/>
            <w:bottom w:w="0" w:type="dxa"/>
            <w:right w:w="108" w:type="dxa"/>
          </w:tblCellMar>
        </w:tblPrEx>
        <w:trPr>
          <w:trHeight w:val="315" w:hRule="atLeast"/>
          <w:jc w:val="center"/>
        </w:trPr>
        <w:tc>
          <w:tcPr>
            <w:tcW w:w="12120" w:type="dxa"/>
            <w:gridSpan w:val="10"/>
            <w:tcBorders>
              <w:top w:val="nil"/>
              <w:left w:val="nil"/>
              <w:bottom w:val="nil"/>
              <w:right w:val="nil"/>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（2023年度）</w:t>
            </w:r>
          </w:p>
        </w:tc>
      </w:tr>
      <w:tr>
        <w:tblPrEx>
          <w:tblCellMar>
            <w:top w:w="0" w:type="dxa"/>
            <w:left w:w="108" w:type="dxa"/>
            <w:bottom w:w="0" w:type="dxa"/>
            <w:right w:w="108" w:type="dxa"/>
          </w:tblCellMar>
        </w:tblPrEx>
        <w:trPr>
          <w:trHeight w:val="398" w:hRule="atLeast"/>
          <w:jc w:val="center"/>
        </w:trPr>
        <w:tc>
          <w:tcPr>
            <w:tcW w:w="206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项目名称</w:t>
            </w:r>
          </w:p>
        </w:tc>
        <w:tc>
          <w:tcPr>
            <w:tcW w:w="10060" w:type="dxa"/>
            <w:gridSpan w:val="7"/>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11000022Y000001372042-公务用车购置项目</w:t>
            </w:r>
          </w:p>
        </w:tc>
      </w:tr>
      <w:tr>
        <w:tblPrEx>
          <w:tblCellMar>
            <w:top w:w="0" w:type="dxa"/>
            <w:left w:w="108" w:type="dxa"/>
            <w:bottom w:w="0" w:type="dxa"/>
            <w:right w:w="108" w:type="dxa"/>
          </w:tblCellMar>
        </w:tblPrEx>
        <w:trPr>
          <w:trHeight w:val="398" w:hRule="atLeast"/>
          <w:jc w:val="center"/>
        </w:trPr>
        <w:tc>
          <w:tcPr>
            <w:tcW w:w="206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主管部门及代码</w:t>
            </w:r>
          </w:p>
        </w:tc>
        <w:tc>
          <w:tcPr>
            <w:tcW w:w="444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048-北京市文物局</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实施单位</w:t>
            </w:r>
          </w:p>
        </w:tc>
        <w:tc>
          <w:tcPr>
            <w:tcW w:w="426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048001-北京市文物局本级行政</w:t>
            </w:r>
          </w:p>
        </w:tc>
      </w:tr>
      <w:tr>
        <w:tblPrEx>
          <w:tblCellMar>
            <w:top w:w="0" w:type="dxa"/>
            <w:left w:w="108" w:type="dxa"/>
            <w:bottom w:w="0" w:type="dxa"/>
            <w:right w:w="108" w:type="dxa"/>
          </w:tblCellMar>
        </w:tblPrEx>
        <w:trPr>
          <w:trHeight w:val="398" w:hRule="atLeast"/>
          <w:jc w:val="center"/>
        </w:trPr>
        <w:tc>
          <w:tcPr>
            <w:tcW w:w="2060"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项目负责人</w:t>
            </w:r>
          </w:p>
        </w:tc>
        <w:tc>
          <w:tcPr>
            <w:tcW w:w="444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赵毕子</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联系电话</w:t>
            </w:r>
          </w:p>
        </w:tc>
        <w:tc>
          <w:tcPr>
            <w:tcW w:w="42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15201345663</w:t>
            </w:r>
          </w:p>
        </w:tc>
      </w:tr>
      <w:tr>
        <w:tblPrEx>
          <w:tblCellMar>
            <w:top w:w="0" w:type="dxa"/>
            <w:left w:w="108" w:type="dxa"/>
            <w:bottom w:w="0" w:type="dxa"/>
            <w:right w:w="108" w:type="dxa"/>
          </w:tblCellMar>
        </w:tblPrEx>
        <w:trPr>
          <w:trHeight w:val="518" w:hRule="atLeast"/>
          <w:jc w:val="center"/>
        </w:trPr>
        <w:tc>
          <w:tcPr>
            <w:tcW w:w="2060"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项目资金（万元）</w:t>
            </w:r>
          </w:p>
        </w:tc>
        <w:tc>
          <w:tcPr>
            <w:tcW w:w="2020" w:type="dxa"/>
            <w:tcBorders>
              <w:top w:val="nil"/>
              <w:left w:val="nil"/>
              <w:bottom w:val="single" w:color="auto" w:sz="4" w:space="0"/>
              <w:right w:val="single" w:color="auto" w:sz="4" w:space="0"/>
              <w:tl2br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w:t>
            </w:r>
          </w:p>
        </w:tc>
        <w:tc>
          <w:tcPr>
            <w:tcW w:w="12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年初预算数</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全年预算数(B)</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全年执行数(C)</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分值（10分）</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执行率(C/B)</w:t>
            </w:r>
          </w:p>
        </w:tc>
        <w:tc>
          <w:tcPr>
            <w:tcW w:w="22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得分</w:t>
            </w:r>
          </w:p>
        </w:tc>
      </w:tr>
      <w:tr>
        <w:tblPrEx>
          <w:tblCellMar>
            <w:top w:w="0" w:type="dxa"/>
            <w:left w:w="108" w:type="dxa"/>
            <w:bottom w:w="0" w:type="dxa"/>
            <w:right w:w="108" w:type="dxa"/>
          </w:tblCellMar>
        </w:tblPrEx>
        <w:trPr>
          <w:trHeight w:val="398" w:hRule="atLeast"/>
          <w:jc w:val="center"/>
        </w:trPr>
        <w:tc>
          <w:tcPr>
            <w:tcW w:w="206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02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年度资金总额：</w:t>
            </w:r>
          </w:p>
        </w:tc>
        <w:tc>
          <w:tcPr>
            <w:tcW w:w="12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xml:space="preserve">16.650000 </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xml:space="preserve">16.650000 </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xml:space="preserve">16.643097 </w:t>
            </w:r>
          </w:p>
        </w:tc>
        <w:tc>
          <w:tcPr>
            <w:tcW w:w="10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xml:space="preserve">10.00 </w:t>
            </w:r>
          </w:p>
        </w:tc>
        <w:tc>
          <w:tcPr>
            <w:tcW w:w="10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99.96%</w:t>
            </w:r>
          </w:p>
        </w:tc>
        <w:tc>
          <w:tcPr>
            <w:tcW w:w="22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10.00</w:t>
            </w:r>
          </w:p>
        </w:tc>
      </w:tr>
      <w:tr>
        <w:tblPrEx>
          <w:tblCellMar>
            <w:top w:w="0" w:type="dxa"/>
            <w:left w:w="108" w:type="dxa"/>
            <w:bottom w:w="0" w:type="dxa"/>
            <w:right w:w="108" w:type="dxa"/>
          </w:tblCellMar>
        </w:tblPrEx>
        <w:trPr>
          <w:trHeight w:val="398" w:hRule="atLeast"/>
          <w:jc w:val="center"/>
        </w:trPr>
        <w:tc>
          <w:tcPr>
            <w:tcW w:w="206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0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其中:当年财政拨款</w:t>
            </w:r>
          </w:p>
        </w:tc>
        <w:tc>
          <w:tcPr>
            <w:tcW w:w="12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xml:space="preserve">16.650000 </w:t>
            </w:r>
          </w:p>
        </w:tc>
        <w:tc>
          <w:tcPr>
            <w:tcW w:w="118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xml:space="preserve">16.650000 </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xml:space="preserve">16.643097 </w:t>
            </w:r>
          </w:p>
        </w:tc>
        <w:tc>
          <w:tcPr>
            <w:tcW w:w="10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 xml:space="preserve">10.00 </w:t>
            </w:r>
          </w:p>
        </w:tc>
        <w:tc>
          <w:tcPr>
            <w:tcW w:w="10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99.96%</w:t>
            </w:r>
          </w:p>
        </w:tc>
        <w:tc>
          <w:tcPr>
            <w:tcW w:w="22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10.00</w:t>
            </w:r>
          </w:p>
        </w:tc>
      </w:tr>
      <w:tr>
        <w:tblPrEx>
          <w:tblCellMar>
            <w:top w:w="0" w:type="dxa"/>
            <w:left w:w="108" w:type="dxa"/>
            <w:bottom w:w="0" w:type="dxa"/>
            <w:right w:w="108" w:type="dxa"/>
          </w:tblCellMar>
        </w:tblPrEx>
        <w:trPr>
          <w:trHeight w:val="398" w:hRule="atLeast"/>
          <w:jc w:val="center"/>
        </w:trPr>
        <w:tc>
          <w:tcPr>
            <w:tcW w:w="206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0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上年结转资金</w:t>
            </w:r>
          </w:p>
        </w:tc>
        <w:tc>
          <w:tcPr>
            <w:tcW w:w="12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w:t>
            </w:r>
          </w:p>
        </w:tc>
        <w:tc>
          <w:tcPr>
            <w:tcW w:w="11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w:t>
            </w:r>
          </w:p>
        </w:tc>
        <w:tc>
          <w:tcPr>
            <w:tcW w:w="10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w:t>
            </w:r>
          </w:p>
        </w:tc>
        <w:tc>
          <w:tcPr>
            <w:tcW w:w="10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w:t>
            </w:r>
          </w:p>
        </w:tc>
        <w:tc>
          <w:tcPr>
            <w:tcW w:w="22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w:t>
            </w:r>
          </w:p>
        </w:tc>
      </w:tr>
      <w:tr>
        <w:tblPrEx>
          <w:tblCellMar>
            <w:top w:w="0" w:type="dxa"/>
            <w:left w:w="108" w:type="dxa"/>
            <w:bottom w:w="0" w:type="dxa"/>
            <w:right w:w="108" w:type="dxa"/>
          </w:tblCellMar>
        </w:tblPrEx>
        <w:trPr>
          <w:trHeight w:val="398" w:hRule="atLeast"/>
          <w:jc w:val="center"/>
        </w:trPr>
        <w:tc>
          <w:tcPr>
            <w:tcW w:w="206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02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其他资金</w:t>
            </w:r>
          </w:p>
        </w:tc>
        <w:tc>
          <w:tcPr>
            <w:tcW w:w="12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w:t>
            </w:r>
          </w:p>
        </w:tc>
        <w:tc>
          <w:tcPr>
            <w:tcW w:w="118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w:t>
            </w:r>
          </w:p>
        </w:tc>
        <w:tc>
          <w:tcPr>
            <w:tcW w:w="10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w:t>
            </w:r>
          </w:p>
        </w:tc>
        <w:tc>
          <w:tcPr>
            <w:tcW w:w="10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w:t>
            </w:r>
          </w:p>
        </w:tc>
        <w:tc>
          <w:tcPr>
            <w:tcW w:w="226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w:t>
            </w:r>
          </w:p>
        </w:tc>
      </w:tr>
      <w:tr>
        <w:tblPrEx>
          <w:tblCellMar>
            <w:top w:w="0" w:type="dxa"/>
            <w:left w:w="108" w:type="dxa"/>
            <w:bottom w:w="0" w:type="dxa"/>
            <w:right w:w="108" w:type="dxa"/>
          </w:tblCellMar>
        </w:tblPrEx>
        <w:trPr>
          <w:trHeight w:val="398" w:hRule="atLeast"/>
          <w:jc w:val="center"/>
        </w:trPr>
        <w:tc>
          <w:tcPr>
            <w:tcW w:w="5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年度总体目标</w:t>
            </w:r>
          </w:p>
        </w:tc>
        <w:tc>
          <w:tcPr>
            <w:tcW w:w="5980" w:type="dxa"/>
            <w:gridSpan w:val="5"/>
            <w:tcBorders>
              <w:top w:val="single" w:color="auto" w:sz="4" w:space="0"/>
              <w:left w:val="nil"/>
              <w:bottom w:val="single" w:color="auto" w:sz="4" w:space="0"/>
              <w:right w:val="nil"/>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预期目标</w:t>
            </w:r>
          </w:p>
        </w:tc>
        <w:tc>
          <w:tcPr>
            <w:tcW w:w="562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实际完成情况</w:t>
            </w:r>
          </w:p>
        </w:tc>
      </w:tr>
      <w:tr>
        <w:tblPrEx>
          <w:tblCellMar>
            <w:top w:w="0" w:type="dxa"/>
            <w:left w:w="108" w:type="dxa"/>
            <w:bottom w:w="0" w:type="dxa"/>
            <w:right w:w="108" w:type="dxa"/>
          </w:tblCellMar>
        </w:tblPrEx>
        <w:trPr>
          <w:trHeight w:val="900" w:hRule="atLeast"/>
          <w:jc w:val="center"/>
        </w:trPr>
        <w:tc>
          <w:tcPr>
            <w:tcW w:w="5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5980"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局机关本级公务车已达到报废年限，且燃油车不环保，现更新为新能源车，同时提升单位行政运行效率。</w:t>
            </w:r>
          </w:p>
        </w:tc>
        <w:tc>
          <w:tcPr>
            <w:tcW w:w="5620" w:type="dxa"/>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已按预期目标报废原有机动车，并更新购置北汽极狐新能源汽车。降低了维护经费及出行费用。新能源汽车低碳环保且不受限行制约便于办公。</w:t>
            </w:r>
          </w:p>
        </w:tc>
      </w:tr>
      <w:tr>
        <w:tblPrEx>
          <w:tblCellMar>
            <w:top w:w="0" w:type="dxa"/>
            <w:left w:w="108" w:type="dxa"/>
            <w:bottom w:w="0" w:type="dxa"/>
            <w:right w:w="108" w:type="dxa"/>
          </w:tblCellMar>
        </w:tblPrEx>
        <w:trPr>
          <w:trHeight w:val="852" w:hRule="atLeast"/>
          <w:jc w:val="center"/>
        </w:trPr>
        <w:tc>
          <w:tcPr>
            <w:tcW w:w="5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绩效指标</w:t>
            </w:r>
          </w:p>
        </w:tc>
        <w:tc>
          <w:tcPr>
            <w:tcW w:w="6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一级指标</w:t>
            </w:r>
          </w:p>
        </w:tc>
        <w:tc>
          <w:tcPr>
            <w:tcW w:w="94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二级指标</w:t>
            </w:r>
          </w:p>
        </w:tc>
        <w:tc>
          <w:tcPr>
            <w:tcW w:w="20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三级指标</w:t>
            </w:r>
          </w:p>
        </w:tc>
        <w:tc>
          <w:tcPr>
            <w:tcW w:w="242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年度指标值(A)</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实际完成值</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分值</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得分</w:t>
            </w:r>
          </w:p>
        </w:tc>
        <w:tc>
          <w:tcPr>
            <w:tcW w:w="22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偏差原因分析及改进措施</w:t>
            </w:r>
          </w:p>
        </w:tc>
      </w:tr>
      <w:tr>
        <w:tblPrEx>
          <w:tblCellMar>
            <w:top w:w="0" w:type="dxa"/>
            <w:left w:w="108" w:type="dxa"/>
            <w:bottom w:w="0" w:type="dxa"/>
            <w:right w:w="108" w:type="dxa"/>
          </w:tblCellMar>
        </w:tblPrEx>
        <w:trPr>
          <w:trHeight w:val="503" w:hRule="atLeast"/>
          <w:jc w:val="center"/>
        </w:trPr>
        <w:tc>
          <w:tcPr>
            <w:tcW w:w="5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600" w:type="dxa"/>
            <w:vMerge w:val="restart"/>
            <w:tcBorders>
              <w:top w:val="nil"/>
              <w:left w:val="single" w:color="auto" w:sz="4" w:space="0"/>
              <w:bottom w:val="nil"/>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产出指标</w:t>
            </w:r>
          </w:p>
        </w:tc>
        <w:tc>
          <w:tcPr>
            <w:tcW w:w="940" w:type="dxa"/>
            <w:tcBorders>
              <w:top w:val="nil"/>
              <w:left w:val="nil"/>
              <w:bottom w:val="nil"/>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数量指标</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购置台数</w:t>
            </w:r>
          </w:p>
        </w:tc>
        <w:tc>
          <w:tcPr>
            <w:tcW w:w="24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1台</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1台</w:t>
            </w:r>
          </w:p>
        </w:tc>
        <w:tc>
          <w:tcPr>
            <w:tcW w:w="1000" w:type="dxa"/>
            <w:tcBorders>
              <w:top w:val="nil"/>
              <w:left w:val="nil"/>
              <w:bottom w:val="nil"/>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20.00</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20.00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792" w:hRule="atLeast"/>
          <w:jc w:val="center"/>
        </w:trPr>
        <w:tc>
          <w:tcPr>
            <w:tcW w:w="5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6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9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质量指标</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合格率</w:t>
            </w:r>
          </w:p>
        </w:tc>
        <w:tc>
          <w:tcPr>
            <w:tcW w:w="24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100%</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100%</w:t>
            </w:r>
          </w:p>
        </w:tc>
        <w:tc>
          <w:tcPr>
            <w:tcW w:w="10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20.00</w:t>
            </w:r>
          </w:p>
        </w:tc>
        <w:tc>
          <w:tcPr>
            <w:tcW w:w="10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20.00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503" w:hRule="atLeast"/>
          <w:jc w:val="center"/>
        </w:trPr>
        <w:tc>
          <w:tcPr>
            <w:tcW w:w="5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600"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940" w:type="dxa"/>
            <w:tcBorders>
              <w:top w:val="nil"/>
              <w:left w:val="nil"/>
              <w:bottom w:val="nil"/>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时效指标</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月</w:t>
            </w:r>
          </w:p>
        </w:tc>
        <w:tc>
          <w:tcPr>
            <w:tcW w:w="24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≤8月</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6月27日</w:t>
            </w:r>
          </w:p>
        </w:tc>
        <w:tc>
          <w:tcPr>
            <w:tcW w:w="1000" w:type="dxa"/>
            <w:tcBorders>
              <w:top w:val="nil"/>
              <w:left w:val="nil"/>
              <w:bottom w:val="nil"/>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10.00</w:t>
            </w:r>
          </w:p>
        </w:tc>
        <w:tc>
          <w:tcPr>
            <w:tcW w:w="10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10.00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1669" w:hRule="atLeast"/>
          <w:jc w:val="center"/>
        </w:trPr>
        <w:tc>
          <w:tcPr>
            <w:tcW w:w="5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600" w:type="dxa"/>
            <w:vMerge w:val="restart"/>
            <w:tcBorders>
              <w:top w:val="single" w:color="auto" w:sz="4" w:space="0"/>
              <w:left w:val="single" w:color="auto" w:sz="4" w:space="0"/>
              <w:bottom w:val="nil"/>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效益指标</w:t>
            </w:r>
          </w:p>
        </w:tc>
        <w:tc>
          <w:tcPr>
            <w:tcW w:w="9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经济效益指标</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提升公务运行效率</w:t>
            </w:r>
          </w:p>
        </w:tc>
        <w:tc>
          <w:tcPr>
            <w:tcW w:w="24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高</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新能源汽车降低了维护经费及出行费用</w:t>
            </w:r>
          </w:p>
        </w:tc>
        <w:tc>
          <w:tcPr>
            <w:tcW w:w="10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5.00</w:t>
            </w:r>
          </w:p>
        </w:tc>
        <w:tc>
          <w:tcPr>
            <w:tcW w:w="10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4.00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偏差原因分析：相应支撑材料不够充分</w:t>
            </w:r>
          </w:p>
          <w:p>
            <w:pPr>
              <w:widowControl/>
              <w:jc w:val="left"/>
              <w:rPr>
                <w:rFonts w:hint="eastAsia" w:ascii="宋体" w:hAnsi="宋体" w:cs="宋体"/>
                <w:kern w:val="0"/>
                <w:sz w:val="20"/>
                <w:szCs w:val="20"/>
              </w:rPr>
            </w:pPr>
            <w:r>
              <w:rPr>
                <w:rFonts w:hint="eastAsia" w:ascii="宋体" w:hAnsi="宋体" w:cs="宋体"/>
                <w:kern w:val="0"/>
                <w:sz w:val="20"/>
                <w:szCs w:val="20"/>
              </w:rPr>
              <w:t>改进措施：今后将加强相关绩效支撑材料收集、整理及归档工作</w:t>
            </w:r>
          </w:p>
        </w:tc>
      </w:tr>
      <w:tr>
        <w:tblPrEx>
          <w:tblCellMar>
            <w:top w:w="0" w:type="dxa"/>
            <w:left w:w="108" w:type="dxa"/>
            <w:bottom w:w="0" w:type="dxa"/>
            <w:right w:w="108" w:type="dxa"/>
          </w:tblCellMar>
        </w:tblPrEx>
        <w:trPr>
          <w:trHeight w:val="1752" w:hRule="atLeast"/>
          <w:jc w:val="center"/>
        </w:trPr>
        <w:tc>
          <w:tcPr>
            <w:tcW w:w="5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6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社会效益指标</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提升单位用车效率</w:t>
            </w:r>
          </w:p>
        </w:tc>
        <w:tc>
          <w:tcPr>
            <w:tcW w:w="24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优</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新能源汽车低碳环保且不受限行制约便于办公</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10.00</w:t>
            </w:r>
          </w:p>
        </w:tc>
        <w:tc>
          <w:tcPr>
            <w:tcW w:w="10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9.00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偏差原因分析：相应支撑材料不够充分</w:t>
            </w:r>
          </w:p>
          <w:p>
            <w:pPr>
              <w:widowControl/>
              <w:jc w:val="left"/>
              <w:rPr>
                <w:rFonts w:hint="eastAsia" w:ascii="宋体" w:hAnsi="宋体" w:cs="宋体"/>
                <w:kern w:val="0"/>
                <w:sz w:val="20"/>
                <w:szCs w:val="20"/>
              </w:rPr>
            </w:pPr>
            <w:r>
              <w:rPr>
                <w:rFonts w:hint="eastAsia" w:ascii="宋体" w:hAnsi="宋体" w:cs="宋体"/>
                <w:kern w:val="0"/>
                <w:sz w:val="20"/>
                <w:szCs w:val="20"/>
              </w:rPr>
              <w:t>改进措施：今后将加强相关绩效支撑材料收集、整理及归档工作</w:t>
            </w:r>
          </w:p>
        </w:tc>
      </w:tr>
      <w:tr>
        <w:tblPrEx>
          <w:tblCellMar>
            <w:top w:w="0" w:type="dxa"/>
            <w:left w:w="108" w:type="dxa"/>
            <w:bottom w:w="0" w:type="dxa"/>
            <w:right w:w="108" w:type="dxa"/>
          </w:tblCellMar>
        </w:tblPrEx>
        <w:trPr>
          <w:trHeight w:val="1740" w:hRule="atLeast"/>
          <w:jc w:val="center"/>
        </w:trPr>
        <w:tc>
          <w:tcPr>
            <w:tcW w:w="5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6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生态效益指标</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提高效率节能减排</w:t>
            </w:r>
          </w:p>
        </w:tc>
        <w:tc>
          <w:tcPr>
            <w:tcW w:w="24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高</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新能源汽车实现了节能减排</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5.00</w:t>
            </w:r>
          </w:p>
        </w:tc>
        <w:tc>
          <w:tcPr>
            <w:tcW w:w="10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4.00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偏差原因分析：相应支撑材料不够充分</w:t>
            </w:r>
          </w:p>
          <w:p>
            <w:pPr>
              <w:widowControl/>
              <w:jc w:val="left"/>
              <w:rPr>
                <w:rFonts w:hint="eastAsia" w:ascii="宋体" w:hAnsi="宋体" w:cs="宋体"/>
                <w:kern w:val="0"/>
                <w:sz w:val="20"/>
                <w:szCs w:val="20"/>
              </w:rPr>
            </w:pPr>
            <w:r>
              <w:rPr>
                <w:rFonts w:hint="eastAsia" w:ascii="宋体" w:hAnsi="宋体" w:cs="宋体"/>
                <w:kern w:val="0"/>
                <w:sz w:val="20"/>
                <w:szCs w:val="20"/>
              </w:rPr>
              <w:t>改进措施：今后将加强相关绩效支撑材料收集、整理及归档工作</w:t>
            </w:r>
          </w:p>
        </w:tc>
      </w:tr>
      <w:tr>
        <w:tblPrEx>
          <w:tblCellMar>
            <w:top w:w="0" w:type="dxa"/>
            <w:left w:w="108" w:type="dxa"/>
            <w:bottom w:w="0" w:type="dxa"/>
            <w:right w:w="108" w:type="dxa"/>
          </w:tblCellMar>
        </w:tblPrEx>
        <w:trPr>
          <w:trHeight w:val="758" w:hRule="atLeast"/>
          <w:jc w:val="center"/>
        </w:trPr>
        <w:tc>
          <w:tcPr>
            <w:tcW w:w="5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600" w:type="dxa"/>
            <w:vMerge w:val="continue"/>
            <w:tcBorders>
              <w:top w:val="single" w:color="auto" w:sz="4" w:space="0"/>
              <w:left w:val="single" w:color="auto" w:sz="4" w:space="0"/>
              <w:bottom w:val="nil"/>
              <w:right w:val="single" w:color="auto" w:sz="4" w:space="0"/>
            </w:tcBorders>
            <w:vAlign w:val="center"/>
          </w:tcPr>
          <w:p>
            <w:pPr>
              <w:widowControl/>
              <w:jc w:val="left"/>
              <w:rPr>
                <w:rFonts w:ascii="宋体" w:hAnsi="宋体" w:cs="宋体"/>
                <w:kern w:val="0"/>
                <w:sz w:val="20"/>
                <w:szCs w:val="20"/>
              </w:rPr>
            </w:pP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可持续影响指标</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使用年限</w:t>
            </w:r>
          </w:p>
        </w:tc>
        <w:tc>
          <w:tcPr>
            <w:tcW w:w="24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≥10年</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10年</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10.00</w:t>
            </w:r>
          </w:p>
        </w:tc>
        <w:tc>
          <w:tcPr>
            <w:tcW w:w="10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10.00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232" w:hRule="atLeast"/>
          <w:jc w:val="center"/>
        </w:trPr>
        <w:tc>
          <w:tcPr>
            <w:tcW w:w="5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6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满意度指标</w:t>
            </w:r>
          </w:p>
        </w:tc>
        <w:tc>
          <w:tcPr>
            <w:tcW w:w="94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服务对象满意度指标</w:t>
            </w:r>
          </w:p>
        </w:tc>
        <w:tc>
          <w:tcPr>
            <w:tcW w:w="202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kern w:val="0"/>
                <w:sz w:val="20"/>
                <w:szCs w:val="20"/>
              </w:rPr>
            </w:pPr>
            <w:r>
              <w:rPr>
                <w:rFonts w:hint="eastAsia" w:ascii="宋体" w:hAnsi="宋体" w:cs="宋体"/>
                <w:kern w:val="0"/>
                <w:sz w:val="20"/>
                <w:szCs w:val="20"/>
              </w:rPr>
              <w:t>使用人满意度</w:t>
            </w:r>
          </w:p>
        </w:tc>
        <w:tc>
          <w:tcPr>
            <w:tcW w:w="24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优</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满意</w:t>
            </w:r>
          </w:p>
        </w:tc>
        <w:tc>
          <w:tcPr>
            <w:tcW w:w="100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10.00</w:t>
            </w:r>
          </w:p>
        </w:tc>
        <w:tc>
          <w:tcPr>
            <w:tcW w:w="10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8.00</w:t>
            </w:r>
          </w:p>
        </w:tc>
        <w:tc>
          <w:tcPr>
            <w:tcW w:w="226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偏差原因分析：未开展满意度调查，相应支撑材料不够充分</w:t>
            </w:r>
          </w:p>
          <w:p>
            <w:pPr>
              <w:widowControl/>
              <w:jc w:val="left"/>
              <w:rPr>
                <w:rFonts w:hint="eastAsia" w:ascii="宋体" w:hAnsi="宋体" w:cs="宋体"/>
                <w:kern w:val="0"/>
                <w:sz w:val="20"/>
                <w:szCs w:val="20"/>
              </w:rPr>
            </w:pPr>
            <w:r>
              <w:rPr>
                <w:rFonts w:hint="eastAsia" w:ascii="宋体" w:hAnsi="宋体" w:cs="宋体"/>
                <w:kern w:val="0"/>
                <w:sz w:val="20"/>
                <w:szCs w:val="20"/>
              </w:rPr>
              <w:t>改进措施：设置量化指标值，开展充分的满意度调查并深入分析，为后续工作开展提供参考</w:t>
            </w:r>
          </w:p>
        </w:tc>
      </w:tr>
      <w:tr>
        <w:tblPrEx>
          <w:tblCellMar>
            <w:top w:w="0" w:type="dxa"/>
            <w:left w:w="108" w:type="dxa"/>
            <w:bottom w:w="0" w:type="dxa"/>
            <w:right w:w="108" w:type="dxa"/>
          </w:tblCellMar>
        </w:tblPrEx>
        <w:trPr>
          <w:trHeight w:val="432" w:hRule="atLeast"/>
          <w:jc w:val="center"/>
        </w:trPr>
        <w:tc>
          <w:tcPr>
            <w:tcW w:w="7860"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总分：</w:t>
            </w:r>
          </w:p>
        </w:tc>
        <w:tc>
          <w:tcPr>
            <w:tcW w:w="10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100.00</w:t>
            </w:r>
          </w:p>
        </w:tc>
        <w:tc>
          <w:tcPr>
            <w:tcW w:w="1000"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20"/>
                <w:szCs w:val="20"/>
              </w:rPr>
            </w:pPr>
            <w:r>
              <w:rPr>
                <w:rFonts w:hint="eastAsia" w:ascii="宋体" w:hAnsi="宋体" w:cs="宋体"/>
                <w:kern w:val="0"/>
                <w:sz w:val="20"/>
                <w:szCs w:val="20"/>
              </w:rPr>
              <w:t>95.00</w:t>
            </w:r>
          </w:p>
        </w:tc>
        <w:tc>
          <w:tcPr>
            <w:tcW w:w="2260" w:type="dxa"/>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kern w:val="0"/>
                <w:sz w:val="20"/>
                <w:szCs w:val="20"/>
              </w:rPr>
            </w:pPr>
            <w:r>
              <w:rPr>
                <w:rFonts w:hint="eastAsia" w:ascii="宋体" w:hAnsi="宋体" w:cs="宋体"/>
                <w:kern w:val="0"/>
                <w:sz w:val="20"/>
                <w:szCs w:val="20"/>
              </w:rPr>
              <w:t>　</w:t>
            </w:r>
          </w:p>
        </w:tc>
      </w:tr>
      <w:tr>
        <w:tblPrEx>
          <w:tblCellMar>
            <w:top w:w="0" w:type="dxa"/>
            <w:left w:w="108" w:type="dxa"/>
            <w:bottom w:w="0" w:type="dxa"/>
            <w:right w:w="108" w:type="dxa"/>
          </w:tblCellMar>
        </w:tblPrEx>
        <w:trPr>
          <w:trHeight w:val="2400" w:hRule="atLeast"/>
          <w:jc w:val="center"/>
        </w:trPr>
        <w:tc>
          <w:tcPr>
            <w:tcW w:w="12120" w:type="dxa"/>
            <w:gridSpan w:val="10"/>
            <w:tcBorders>
              <w:top w:val="nil"/>
              <w:left w:val="nil"/>
              <w:bottom w:val="nil"/>
              <w:right w:val="nil"/>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填报注意事项：</w:t>
            </w:r>
          </w:p>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1.得分一档最高不能超过该指标分值上限。</w:t>
            </w:r>
          </w:p>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widowControl/>
              <w:jc w:val="left"/>
              <w:rPr>
                <w:rFonts w:hint="eastAsia" w:ascii="宋体" w:hAnsi="宋体" w:eastAsia="宋体" w:cs="宋体"/>
                <w:kern w:val="0"/>
                <w:sz w:val="20"/>
                <w:szCs w:val="20"/>
                <w:lang w:eastAsia="zh-CN"/>
              </w:rPr>
            </w:pPr>
            <w:r>
              <w:rPr>
                <w:rFonts w:hint="eastAsia" w:ascii="宋体" w:hAnsi="宋体" w:cs="宋体"/>
                <w:kern w:val="0"/>
                <w:sz w:val="20"/>
                <w:szCs w:val="20"/>
              </w:rPr>
              <w:t>3.请在“偏差原因分析及改进措施”中说明偏离目标、不能完成目标的原因及拟采取的措施。</w:t>
            </w:r>
          </w:p>
          <w:p>
            <w:pPr>
              <w:widowControl/>
              <w:jc w:val="left"/>
              <w:rPr>
                <w:rFonts w:hint="eastAsia" w:ascii="宋体" w:hAnsi="宋体" w:cs="宋体"/>
                <w:kern w:val="0"/>
                <w:sz w:val="20"/>
                <w:szCs w:val="20"/>
              </w:rPr>
            </w:pPr>
            <w:r>
              <w:rPr>
                <w:rFonts w:hint="eastAsia" w:ascii="宋体" w:hAnsi="宋体" w:cs="宋体"/>
                <w:kern w:val="0"/>
                <w:sz w:val="20"/>
                <w:szCs w:val="20"/>
              </w:rPr>
              <w:t>4.90（含）-100分为优、80（含）-90分为良、60（含）-80分为中、60分以下为差。</w:t>
            </w:r>
          </w:p>
        </w:tc>
      </w:tr>
    </w:tbl>
    <w:p>
      <w:pPr>
        <w:rPr>
          <w:rFonts w:hint="eastAsia"/>
        </w:rPr>
      </w:pPr>
    </w:p>
    <w:p/>
    <w:p>
      <w:pPr>
        <w:pStyle w:val="3"/>
      </w:pP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4NjliZjViZDMyNTc4YmRiODVmMzhiMDRkOGJmNGI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67214D7"/>
    <w:rsid w:val="079004AC"/>
    <w:rsid w:val="0BA148CA"/>
    <w:rsid w:val="0DD136FE"/>
    <w:rsid w:val="0F8E2C57"/>
    <w:rsid w:val="1059665E"/>
    <w:rsid w:val="10AC13BA"/>
    <w:rsid w:val="160B1BEC"/>
    <w:rsid w:val="1AEC0734"/>
    <w:rsid w:val="1DEF20B0"/>
    <w:rsid w:val="214243FA"/>
    <w:rsid w:val="21AD613C"/>
    <w:rsid w:val="22470032"/>
    <w:rsid w:val="238A1680"/>
    <w:rsid w:val="257A14F5"/>
    <w:rsid w:val="27196C26"/>
    <w:rsid w:val="29EF086F"/>
    <w:rsid w:val="2EFFE297"/>
    <w:rsid w:val="301437CA"/>
    <w:rsid w:val="349D1F0A"/>
    <w:rsid w:val="34DD0473"/>
    <w:rsid w:val="433E495C"/>
    <w:rsid w:val="4AC27CB3"/>
    <w:rsid w:val="4BF72BEF"/>
    <w:rsid w:val="515F4FA1"/>
    <w:rsid w:val="51DB3C59"/>
    <w:rsid w:val="550C0952"/>
    <w:rsid w:val="55762E42"/>
    <w:rsid w:val="57A7B272"/>
    <w:rsid w:val="58470068"/>
    <w:rsid w:val="5A1720F9"/>
    <w:rsid w:val="5B9C37C2"/>
    <w:rsid w:val="5BA7C654"/>
    <w:rsid w:val="64C0607C"/>
    <w:rsid w:val="676F09E1"/>
    <w:rsid w:val="7A7F1C4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0"/>
              <c:layout>
                <c:manualLayout>
                  <c:x val="0.00352638696731798"/>
                  <c:y val="-0.151568150369667"/>
                </c:manualLayout>
              </c:layout>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extLst>
                <c:ext xmlns:c15="http://schemas.microsoft.com/office/drawing/2012/chart" uri="{CE6537A1-D6FC-4f65-9D91-7224C49458BB}">
                  <c15:layout/>
                </c:ext>
              </c:extLst>
            </c:dLbl>
            <c:dLbl>
              <c:idx val="1"/>
              <c:delete val="1"/>
            </c:dLbl>
            <c:dLbl>
              <c:idx val="2"/>
              <c:delete val="1"/>
            </c:dLbl>
            <c:dLbl>
              <c:idx val="3"/>
              <c:delete val="1"/>
            </c:dLbl>
            <c:dLbl>
              <c:idx val="4"/>
              <c:delete val="1"/>
            </c:dLbl>
            <c:dLbl>
              <c:idx val="5"/>
              <c:layout>
                <c:manualLayout>
                  <c:x val="0.116235329013669"/>
                  <c:y val="-0.0081221033899101"/>
                </c:manualLayout>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solidFill>
                        <a:latin typeface="+mn-lt"/>
                        <a:ea typeface="+mn-ea"/>
                        <a:cs typeface="+mn-cs"/>
                      </a:defRPr>
                    </a:pPr>
                    <a:r>
                      <a:rPr lang="en-US" altLang="zh-CN"/>
                      <a:t>0.02%</a:t>
                    </a:r>
                    <a:endParaRPr lang="en-US" altLang="zh-CN"/>
                  </a:p>
                </c:rich>
              </c:tx>
              <c:dLblPos val="bestFit"/>
              <c:showLegendKey val="0"/>
              <c:showVal val="1"/>
              <c:showCatName val="0"/>
              <c:showSerName val="0"/>
              <c:showPercent val="0"/>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4196.8</c:v>
                </c:pt>
                <c:pt idx="1">
                  <c:v>0</c:v>
                </c:pt>
                <c:pt idx="2">
                  <c:v>0</c:v>
                </c:pt>
                <c:pt idx="3">
                  <c:v>0</c:v>
                </c:pt>
                <c:pt idx="4">
                  <c:v>0</c:v>
                </c:pt>
                <c:pt idx="5">
                  <c:v>0.97</c:v>
                </c:pt>
              </c:numCache>
            </c:numRef>
          </c:val>
        </c:ser>
        <c:dLbls>
          <c:showLegendKey val="0"/>
          <c:showVal val="0"/>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3"/>
        <c:delete val="1"/>
      </c:legendEntry>
      <c:legendEntry>
        <c:idx val="4"/>
        <c:delete val="1"/>
      </c:legendEntry>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lang="zh-CN" altLang="en-US">
                <a:solidFill>
                  <a:schemeClr val="bg1">
                    <a:lumMod val="50000"/>
                  </a:schemeClr>
                </a:solidFill>
              </a:rPr>
              <a:t>支出决算</a:t>
            </a:r>
            <a:endParaRPr lang="zh-CN" altLang="en-US">
              <a:solidFill>
                <a:schemeClr val="bg1">
                  <a:lumMod val="50000"/>
                </a:schemeClr>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spPr>
            <a:ln>
              <a:noFill/>
            </a:ln>
          </c:spPr>
          <c:explosion val="0"/>
          <c:dPt>
            <c:idx val="0"/>
            <c:bubble3D val="0"/>
            <c:spPr>
              <a:solidFill>
                <a:srgbClr val="4F81BD"/>
              </a:solidFill>
              <a:ln w="19050">
                <a:noFill/>
              </a:ln>
              <a:effectLst/>
            </c:spPr>
          </c:dPt>
          <c:dPt>
            <c:idx val="1"/>
            <c:bubble3D val="0"/>
            <c:spPr>
              <a:solidFill>
                <a:srgbClr val="C0504D"/>
              </a:solidFill>
              <a:ln w="19050">
                <a:noFill/>
              </a:ln>
              <a:effectLst/>
            </c:spPr>
          </c:dPt>
          <c:dPt>
            <c:idx val="2"/>
            <c:bubble3D val="0"/>
            <c:spPr>
              <a:solidFill>
                <a:srgbClr val="9BBB59"/>
              </a:solidFill>
              <a:ln w="19050">
                <a:noFill/>
              </a:ln>
              <a:effectLst/>
            </c:spPr>
          </c:dPt>
          <c:dPt>
            <c:idx val="3"/>
            <c:bubble3D val="0"/>
            <c:spPr>
              <a:solidFill>
                <a:srgbClr val="8064A2"/>
              </a:solidFill>
              <a:ln w="19050">
                <a:noFill/>
              </a:ln>
              <a:effectLst/>
            </c:spPr>
          </c:dPt>
          <c:dPt>
            <c:idx val="4"/>
            <c:bubble3D val="0"/>
            <c:spPr>
              <a:solidFill>
                <a:srgbClr val="4BACC6"/>
              </a:solidFill>
              <a:ln w="19050">
                <a:noFill/>
              </a:ln>
              <a:effectLst/>
            </c:spPr>
          </c:dPt>
          <c:dLbls>
            <c:dLbl>
              <c:idx val="0"/>
              <c:layout>
                <c:manualLayout>
                  <c:x val="0.00230523263379022"/>
                  <c:y val="-0.13951795913904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000128021258355804"/>
                  <c:y val="-0.0170439006648867"/>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4057.88</c:v>
                </c:pt>
                <c:pt idx="1">
                  <c:v>16.64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2"/>
        <c:delete val="1"/>
      </c:legendEntry>
      <c:legendEntry>
        <c:idx val="3"/>
        <c:delete val="1"/>
      </c:legendEntry>
      <c:legendEntry>
        <c:idx val="4"/>
        <c:delete val="1"/>
      </c:legendEntry>
      <c:layout>
        <c:manualLayout>
          <c:xMode val="edge"/>
          <c:yMode val="edge"/>
          <c:x val="0.374583333333333"/>
          <c:y val="0.895138888888889"/>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5044</Words>
  <Characters>5774</Characters>
  <Lines>44</Lines>
  <Paragraphs>12</Paragraphs>
  <TotalTime>39</TotalTime>
  <ScaleCrop>false</ScaleCrop>
  <LinksUpToDate>false</LinksUpToDate>
  <CharactersWithSpaces>5806</CharactersWithSpaces>
  <Application>WPS Office_11.8.2.12251_F1E327BC-269C-435d-A152-05C5408002CA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Mr.Lr</cp:lastModifiedBy>
  <cp:lastPrinted>2020-08-07T11:39:00Z</cp:lastPrinted>
  <dcterms:modified xsi:type="dcterms:W3CDTF">2024-09-18T01:31:56Z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2052-11.8.2.12251</vt:lpwstr>
  </property>
  <property fmtid="{D5CDD505-2E9C-101B-9397-08002B2CF9AE}" pid="3" name="ICV">
    <vt:lpwstr>6E589BF37303493883CA1874927AD8AF_13</vt:lpwstr>
  </property>
</Properties>
</file>