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w:t>
      </w:r>
      <w:r>
        <w:rPr>
          <w:rFonts w:hint="eastAsia" w:ascii="黑体" w:eastAsia="黑体"/>
          <w:sz w:val="72"/>
          <w:szCs w:val="72"/>
          <w:lang w:val="en-US" w:eastAsia="zh-CN"/>
        </w:rPr>
        <w:t>公开</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hint="eastAsia"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w:t>
      </w:r>
      <w:r>
        <w:rPr>
          <w:rFonts w:hint="eastAsia" w:ascii="宋体" w:hAnsi="宋体" w:cs="宋体"/>
          <w:b/>
          <w:bCs/>
          <w:spacing w:val="40"/>
          <w:kern w:val="0"/>
          <w:sz w:val="44"/>
          <w:szCs w:val="44"/>
          <w:lang w:val="en-US" w:eastAsia="zh-CN"/>
        </w:rPr>
        <w:t>3</w:t>
      </w:r>
      <w:r>
        <w:rPr>
          <w:rFonts w:hint="eastAsia" w:ascii="宋体" w:hAnsi="宋体" w:cs="宋体"/>
          <w:b/>
          <w:bCs/>
          <w:spacing w:val="40"/>
          <w:kern w:val="0"/>
          <w:sz w:val="44"/>
          <w:szCs w:val="44"/>
        </w:rPr>
        <w:t>年度部门决算报表</w:t>
      </w:r>
    </w:p>
    <w:p>
      <w:pPr>
        <w:pStyle w:val="3"/>
        <w:rPr>
          <w:rFonts w:hint="eastAsia"/>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根据《中共北京市委机构编制委员会办公室关于重新核定首都博物馆内设机构的批复》（京编办复[2022]101号），</w:t>
      </w:r>
      <w:r>
        <w:rPr>
          <w:rFonts w:hint="eastAsia" w:ascii="仿宋_GB2312" w:eastAsia="仿宋_GB2312" w:cs="Times New Roman"/>
          <w:kern w:val="2"/>
          <w:sz w:val="28"/>
          <w:szCs w:val="28"/>
          <w:lang w:val="en-US" w:eastAsia="zh-CN" w:bidi="ar-SA"/>
        </w:rPr>
        <w:t>首都博物馆</w:t>
      </w:r>
      <w:r>
        <w:rPr>
          <w:rFonts w:hint="eastAsia" w:ascii="仿宋_GB2312" w:hAnsi="Times New Roman" w:eastAsia="仿宋_GB2312" w:cs="Times New Roman"/>
          <w:kern w:val="2"/>
          <w:sz w:val="28"/>
          <w:szCs w:val="28"/>
          <w:lang w:val="en-US" w:eastAsia="zh-CN" w:bidi="ar-SA"/>
        </w:rPr>
        <w:t>在撤销原12个内设机构的基础上，重新核定8个正处级内设机构，分别是：办公室、藏品部、保护部、展览部、公众服务部、安全技术部、党建人事部、财务管理部。</w:t>
      </w:r>
      <w:r>
        <w:rPr>
          <w:rFonts w:hint="eastAsia" w:ascii="仿宋_GB2312" w:eastAsia="仿宋_GB2312" w:cs="Times New Roman"/>
          <w:kern w:val="2"/>
          <w:sz w:val="28"/>
          <w:szCs w:val="28"/>
          <w:lang w:val="en-US" w:eastAsia="zh-CN" w:bidi="ar-SA"/>
        </w:rPr>
        <w:t>另</w:t>
      </w:r>
      <w:r>
        <w:rPr>
          <w:rFonts w:hint="eastAsia" w:ascii="仿宋_GB2312" w:hAnsi="Times New Roman" w:eastAsia="仿宋_GB2312" w:cs="Times New Roman"/>
          <w:kern w:val="2"/>
          <w:sz w:val="28"/>
          <w:szCs w:val="28"/>
          <w:lang w:val="en-US" w:eastAsia="zh-CN" w:bidi="ar-SA"/>
        </w:rPr>
        <w:t>设有5个正处级分支机构，分别是：北京四合院博物馆、北京市白塔寺管理处、北京文博交流馆（北京市智化寺管理处）、老舍纪念馆、北京大运河博物馆（首都博物馆东馆）筹备处。</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首都博物馆主要职能包括：负责收藏、保护、研究与展示北京历史文化和艺术，解读北京历史，传承中华文化，展示世界文明，主要业务范围是文物征集与收藏，藏品保护与修复，展览与展示，社会教育与活动，公众服务与传播，博物馆数字化及相关科技研究与应用，北京历史文化与文物研究，博物馆学研究等。</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0</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0</w:t>
      </w:r>
      <w:r>
        <w:rPr>
          <w:rFonts w:hint="eastAsia" w:ascii="仿宋_GB2312" w:eastAsia="仿宋_GB2312"/>
          <w:kern w:val="0"/>
          <w:sz w:val="28"/>
          <w:szCs w:val="28"/>
        </w:rPr>
        <w:t>人；事业编制314人，实有人数</w:t>
      </w:r>
      <w:r>
        <w:rPr>
          <w:rFonts w:hint="eastAsia" w:ascii="仿宋_GB2312" w:eastAsia="仿宋_GB2312"/>
          <w:kern w:val="0"/>
          <w:sz w:val="28"/>
          <w:szCs w:val="28"/>
          <w:lang w:val="en-US" w:eastAsia="zh-CN"/>
        </w:rPr>
        <w:t>281</w:t>
      </w:r>
      <w:r>
        <w:rPr>
          <w:rFonts w:hint="eastAsia" w:ascii="仿宋_GB2312" w:eastAsia="仿宋_GB2312"/>
          <w:kern w:val="0"/>
          <w:sz w:val="28"/>
          <w:szCs w:val="28"/>
        </w:rPr>
        <w:t>人。</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73294.1</w:t>
      </w:r>
      <w:r>
        <w:rPr>
          <w:rFonts w:hint="eastAsia" w:ascii="仿宋_GB2312" w:eastAsia="仿宋_GB2312"/>
          <w:sz w:val="28"/>
          <w:szCs w:val="28"/>
          <w:lang w:val="en-US" w:eastAsia="zh-CN"/>
        </w:rPr>
        <w:t>0</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35838.71</w:t>
      </w:r>
      <w:r>
        <w:rPr>
          <w:rFonts w:hint="eastAsia" w:ascii="仿宋_GB2312" w:eastAsia="仿宋_GB2312"/>
          <w:sz w:val="28"/>
          <w:szCs w:val="28"/>
        </w:rPr>
        <w:t>万元，增长</w:t>
      </w:r>
      <w:r>
        <w:rPr>
          <w:rFonts w:hint="eastAsia" w:ascii="仿宋_GB2312" w:eastAsia="仿宋_GB2312"/>
          <w:sz w:val="28"/>
          <w:szCs w:val="28"/>
          <w:lang w:val="en-US" w:eastAsia="zh-CN"/>
        </w:rPr>
        <w:t>95.68</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60290.62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25028.40</w:t>
      </w:r>
      <w:r>
        <w:rPr>
          <w:rFonts w:hint="eastAsia" w:ascii="仿宋_GB2312" w:eastAsia="仿宋_GB2312"/>
          <w:sz w:val="28"/>
          <w:szCs w:val="28"/>
        </w:rPr>
        <w:t>万元，增长</w:t>
      </w:r>
      <w:r>
        <w:rPr>
          <w:rFonts w:hint="eastAsia" w:ascii="仿宋_GB2312" w:eastAsia="仿宋_GB2312"/>
          <w:sz w:val="28"/>
          <w:szCs w:val="28"/>
          <w:lang w:val="en-US" w:eastAsia="zh-CN"/>
        </w:rPr>
        <w:t>70.98</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59483.86</w:t>
      </w:r>
      <w:r>
        <w:rPr>
          <w:rFonts w:hint="eastAsia" w:ascii="仿宋_GB2312" w:eastAsia="仿宋_GB2312"/>
          <w:sz w:val="28"/>
          <w:szCs w:val="28"/>
        </w:rPr>
        <w:t>万元，占收入合计的</w:t>
      </w:r>
      <w:r>
        <w:rPr>
          <w:rFonts w:ascii="仿宋_GB2312" w:eastAsia="仿宋_GB2312"/>
          <w:sz w:val="28"/>
          <w:szCs w:val="28"/>
        </w:rPr>
        <w:t>98.66</w:t>
      </w:r>
      <w:r>
        <w:rPr>
          <w:rFonts w:hint="eastAsia" w:ascii="仿宋_GB2312" w:eastAsia="仿宋_GB2312"/>
          <w:sz w:val="28"/>
          <w:szCs w:val="28"/>
        </w:rPr>
        <w:t>%。其中：一般公共预算财政拨款收入</w:t>
      </w:r>
      <w:r>
        <w:rPr>
          <w:rFonts w:ascii="仿宋_GB2312" w:eastAsia="仿宋_GB2312"/>
          <w:sz w:val="28"/>
          <w:szCs w:val="28"/>
        </w:rPr>
        <w:t>59483.86</w:t>
      </w:r>
      <w:r>
        <w:rPr>
          <w:rFonts w:hint="eastAsia" w:ascii="仿宋_GB2312" w:eastAsia="仿宋_GB2312"/>
          <w:sz w:val="28"/>
          <w:szCs w:val="28"/>
        </w:rPr>
        <w:t>万元，占收入合计的</w:t>
      </w:r>
      <w:r>
        <w:rPr>
          <w:rFonts w:ascii="仿宋_GB2312" w:eastAsia="仿宋_GB2312"/>
          <w:sz w:val="28"/>
          <w:szCs w:val="28"/>
        </w:rPr>
        <w:t>98.66</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609.69</w:t>
      </w:r>
      <w:r>
        <w:rPr>
          <w:rFonts w:hint="eastAsia" w:ascii="仿宋_GB2312" w:eastAsia="仿宋_GB2312"/>
          <w:sz w:val="28"/>
          <w:szCs w:val="28"/>
        </w:rPr>
        <w:t>万元，占收入合计的</w:t>
      </w:r>
      <w:r>
        <w:rPr>
          <w:rFonts w:ascii="仿宋_GB2312" w:eastAsia="仿宋_GB2312"/>
          <w:sz w:val="28"/>
          <w:szCs w:val="28"/>
        </w:rPr>
        <w:t>1.01</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197.07</w:t>
      </w:r>
      <w:r>
        <w:rPr>
          <w:rFonts w:hint="eastAsia" w:ascii="仿宋_GB2312" w:eastAsia="仿宋_GB2312"/>
          <w:sz w:val="28"/>
          <w:szCs w:val="28"/>
        </w:rPr>
        <w:t>万元，占收入合计的</w:t>
      </w:r>
      <w:r>
        <w:rPr>
          <w:rFonts w:ascii="仿宋_GB2312" w:eastAsia="仿宋_GB2312"/>
          <w:sz w:val="28"/>
          <w:szCs w:val="28"/>
        </w:rPr>
        <w:t>0</w:t>
      </w:r>
      <w:r>
        <w:rPr>
          <w:rFonts w:ascii="仿宋_GB2312" w:eastAsia="仿宋_GB2312"/>
          <w:sz w:val="28"/>
          <w:szCs w:val="28"/>
          <w:highlight w:val="none"/>
        </w:rPr>
        <w:t>.3</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w:t>
      </w:r>
    </w:p>
    <w:p>
      <w:pPr>
        <w:pStyle w:val="3"/>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pPr>
        <w:bidi w:val="0"/>
        <w:jc w:val="center"/>
        <w:rPr>
          <w:rFonts w:hint="eastAsia"/>
          <w:lang w:val="en-US" w:eastAsia="zh-CN"/>
        </w:rPr>
      </w:pPr>
      <w:r>
        <w:rPr>
          <w:rFonts w:hint="eastAsia"/>
          <w:lang w:val="en-US" w:eastAsia="zh-CN"/>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57898.79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35386.98</w:t>
      </w:r>
      <w:r>
        <w:rPr>
          <w:rFonts w:hint="eastAsia" w:ascii="仿宋_GB2312" w:eastAsia="仿宋_GB2312"/>
          <w:sz w:val="28"/>
          <w:szCs w:val="28"/>
        </w:rPr>
        <w:t>万元，增长</w:t>
      </w:r>
      <w:r>
        <w:rPr>
          <w:rFonts w:hint="eastAsia" w:ascii="仿宋_GB2312" w:eastAsia="仿宋_GB2312"/>
          <w:sz w:val="28"/>
          <w:szCs w:val="28"/>
          <w:lang w:val="en-US" w:eastAsia="zh-CN"/>
        </w:rPr>
        <w:t>157.19</w:t>
      </w:r>
      <w:r>
        <w:rPr>
          <w:rFonts w:hint="eastAsia" w:ascii="仿宋_GB2312" w:eastAsia="仿宋_GB2312"/>
          <w:sz w:val="28"/>
          <w:szCs w:val="28"/>
        </w:rPr>
        <w:t>%，其中：基本支出</w:t>
      </w:r>
      <w:r>
        <w:rPr>
          <w:rFonts w:ascii="仿宋_GB2312" w:eastAsia="仿宋_GB2312"/>
          <w:sz w:val="28"/>
          <w:szCs w:val="28"/>
        </w:rPr>
        <w:t>17070.3</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ascii="仿宋_GB2312" w:eastAsia="仿宋_GB2312"/>
          <w:sz w:val="28"/>
          <w:szCs w:val="28"/>
        </w:rPr>
        <w:t>29.48</w:t>
      </w:r>
      <w:r>
        <w:rPr>
          <w:rFonts w:hint="eastAsia" w:ascii="仿宋_GB2312" w:eastAsia="仿宋_GB2312"/>
          <w:sz w:val="28"/>
          <w:szCs w:val="28"/>
        </w:rPr>
        <w:t>%；项目支出</w:t>
      </w:r>
      <w:r>
        <w:rPr>
          <w:rFonts w:ascii="仿宋_GB2312" w:eastAsia="仿宋_GB2312"/>
          <w:sz w:val="28"/>
          <w:szCs w:val="28"/>
        </w:rPr>
        <w:t>40828.49</w:t>
      </w:r>
      <w:r>
        <w:rPr>
          <w:rFonts w:hint="eastAsia" w:ascii="仿宋_GB2312" w:eastAsia="仿宋_GB2312"/>
          <w:sz w:val="28"/>
          <w:szCs w:val="28"/>
        </w:rPr>
        <w:t>万元，占支出合计的</w:t>
      </w:r>
      <w:r>
        <w:rPr>
          <w:rFonts w:ascii="仿宋_GB2312" w:eastAsia="仿宋_GB2312"/>
          <w:sz w:val="28"/>
          <w:szCs w:val="28"/>
        </w:rPr>
        <w:t>70.5</w:t>
      </w:r>
      <w:r>
        <w:rPr>
          <w:rFonts w:hint="eastAsia" w:ascii="仿宋_GB2312" w:eastAsia="仿宋_GB2312"/>
          <w:sz w:val="28"/>
          <w:szCs w:val="28"/>
          <w:highlight w:val="none"/>
          <w:lang w:val="en-US" w:eastAsia="zh-CN"/>
        </w:rPr>
        <w:t>2</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71039.21</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34988.17</w:t>
      </w:r>
      <w:r>
        <w:rPr>
          <w:rFonts w:hint="eastAsia" w:ascii="仿宋_GB2312" w:eastAsia="仿宋_GB2312"/>
          <w:sz w:val="28"/>
          <w:szCs w:val="28"/>
        </w:rPr>
        <w:t>万元，增长</w:t>
      </w:r>
      <w:r>
        <w:rPr>
          <w:rFonts w:hint="eastAsia" w:ascii="仿宋_GB2312" w:eastAsia="仿宋_GB2312"/>
          <w:sz w:val="28"/>
          <w:szCs w:val="28"/>
          <w:lang w:val="en-US" w:eastAsia="zh-CN"/>
        </w:rPr>
        <w:t>97.05</w:t>
      </w:r>
      <w:r>
        <w:rPr>
          <w:rFonts w:hint="eastAsia" w:ascii="仿宋_GB2312" w:eastAsia="仿宋_GB2312"/>
          <w:sz w:val="28"/>
          <w:szCs w:val="28"/>
        </w:rPr>
        <w:t>%。主要原因：</w:t>
      </w:r>
      <w:r>
        <w:rPr>
          <w:rFonts w:hint="eastAsia" w:ascii="仿宋_GB2312" w:eastAsia="仿宋_GB2312"/>
          <w:sz w:val="28"/>
          <w:szCs w:val="28"/>
          <w:lang w:val="en-US" w:eastAsia="zh-CN"/>
        </w:rPr>
        <w:t>为完成市委市政府决策部署，保障北京大运河博物馆（首都博物馆东馆）2023年底顺利开馆，2023年年中追加了北京大运河博物馆（首都博物馆东馆）开办及运维相关项目经费</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57262.92</w:t>
      </w:r>
      <w:r>
        <w:rPr>
          <w:rFonts w:hint="eastAsia" w:ascii="仿宋_GB2312" w:eastAsia="仿宋_GB2312"/>
          <w:sz w:val="28"/>
          <w:szCs w:val="28"/>
        </w:rPr>
        <w:t>万元，主要用于以下方面：</w:t>
      </w:r>
      <w:r>
        <w:rPr>
          <w:rFonts w:hint="eastAsia" w:ascii="仿宋_GB2312" w:eastAsia="仿宋_GB2312"/>
          <w:sz w:val="28"/>
          <w:szCs w:val="28"/>
          <w:lang w:val="en-US" w:eastAsia="zh-CN"/>
        </w:rPr>
        <w:t>教育</w:t>
      </w:r>
      <w:r>
        <w:rPr>
          <w:rFonts w:hint="eastAsia" w:ascii="仿宋_GB2312" w:eastAsia="仿宋_GB2312"/>
          <w:sz w:val="28"/>
          <w:szCs w:val="28"/>
        </w:rPr>
        <w:t>支出</w:t>
      </w:r>
      <w:r>
        <w:rPr>
          <w:rFonts w:hint="eastAsia" w:ascii="仿宋_GB2312" w:eastAsia="仿宋_GB2312"/>
          <w:sz w:val="28"/>
          <w:szCs w:val="28"/>
          <w:lang w:val="en-US" w:eastAsia="zh-CN"/>
        </w:rPr>
        <w:t>6.13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0.01</w:t>
      </w:r>
      <w:r>
        <w:rPr>
          <w:rFonts w:hint="eastAsia" w:ascii="仿宋_GB2312" w:eastAsia="仿宋_GB2312"/>
          <w:sz w:val="28"/>
          <w:szCs w:val="28"/>
        </w:rPr>
        <w:t>%；</w:t>
      </w:r>
      <w:r>
        <w:rPr>
          <w:rFonts w:hint="eastAsia" w:ascii="仿宋_GB2312" w:eastAsia="仿宋_GB2312"/>
          <w:sz w:val="28"/>
          <w:szCs w:val="28"/>
          <w:lang w:val="en-US" w:eastAsia="zh-CN"/>
        </w:rPr>
        <w:t>文化旅游体育与传媒支出57106.29万元，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99.73</w:t>
      </w:r>
      <w:r>
        <w:rPr>
          <w:rFonts w:hint="eastAsia" w:ascii="仿宋_GB2312" w:eastAsia="仿宋_GB2312"/>
          <w:sz w:val="28"/>
          <w:szCs w:val="28"/>
        </w:rPr>
        <w:t>%；</w:t>
      </w:r>
      <w:r>
        <w:rPr>
          <w:rFonts w:hint="eastAsia" w:ascii="仿宋_GB2312" w:eastAsia="仿宋_GB2312"/>
          <w:sz w:val="28"/>
          <w:szCs w:val="28"/>
          <w:lang w:val="en-US" w:eastAsia="zh-CN"/>
        </w:rPr>
        <w:t>社会保障和就业支出150.50万元，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0.26</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教育支出</w:t>
      </w:r>
      <w:r>
        <w:rPr>
          <w:rFonts w:hint="eastAsia" w:ascii="仿宋_GB2312" w:eastAsia="仿宋_GB2312"/>
          <w:sz w:val="28"/>
          <w:szCs w:val="28"/>
        </w:rPr>
        <w:t>”（类）202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6.13</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19.27</w:t>
      </w:r>
      <w:r>
        <w:rPr>
          <w:rFonts w:hint="eastAsia" w:ascii="仿宋_GB2312" w:eastAsia="仿宋_GB2312"/>
          <w:sz w:val="28"/>
          <w:szCs w:val="28"/>
        </w:rPr>
        <w:t>万元，下降</w:t>
      </w:r>
      <w:r>
        <w:rPr>
          <w:rFonts w:hint="eastAsia" w:ascii="仿宋_GB2312" w:eastAsia="仿宋_GB2312"/>
          <w:sz w:val="28"/>
          <w:szCs w:val="28"/>
          <w:lang w:val="en-US" w:eastAsia="zh-CN"/>
        </w:rPr>
        <w:t>75.86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进修及培训</w:t>
      </w:r>
      <w:r>
        <w:rPr>
          <w:rFonts w:hint="eastAsia" w:ascii="仿宋_GB2312" w:eastAsia="仿宋_GB2312"/>
          <w:sz w:val="28"/>
          <w:szCs w:val="28"/>
        </w:rPr>
        <w:t>”（款）202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6.13</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19.27</w:t>
      </w:r>
      <w:r>
        <w:rPr>
          <w:rFonts w:hint="eastAsia" w:ascii="仿宋_GB2312" w:eastAsia="仿宋_GB2312"/>
          <w:sz w:val="28"/>
          <w:szCs w:val="28"/>
        </w:rPr>
        <w:t>万元，下降</w:t>
      </w:r>
      <w:r>
        <w:rPr>
          <w:rFonts w:hint="eastAsia" w:ascii="仿宋_GB2312" w:eastAsia="仿宋_GB2312"/>
          <w:sz w:val="28"/>
          <w:szCs w:val="28"/>
          <w:lang w:val="en-US" w:eastAsia="zh-CN"/>
        </w:rPr>
        <w:t>75.86</w:t>
      </w:r>
      <w:r>
        <w:rPr>
          <w:rFonts w:hint="eastAsia" w:ascii="仿宋_GB2312" w:eastAsia="仿宋_GB2312"/>
          <w:sz w:val="28"/>
          <w:szCs w:val="28"/>
        </w:rPr>
        <w:t>%。主要原因：落实政府过紧日子要求，厉行勤俭节约要求，严格控制</w:t>
      </w:r>
      <w:r>
        <w:rPr>
          <w:rFonts w:hint="eastAsia" w:ascii="仿宋_GB2312" w:eastAsia="仿宋_GB2312"/>
          <w:sz w:val="28"/>
          <w:szCs w:val="28"/>
          <w:lang w:val="en-US" w:eastAsia="zh-CN"/>
        </w:rPr>
        <w:t>培训范围及规模，培训费相应减少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文化旅游体育与传媒支出</w:t>
      </w:r>
      <w:r>
        <w:rPr>
          <w:rFonts w:hint="eastAsia" w:ascii="仿宋_GB2312" w:eastAsia="仿宋_GB2312"/>
          <w:sz w:val="28"/>
          <w:szCs w:val="28"/>
        </w:rPr>
        <w:t>”(类)202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57106.29</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16319.48</w:t>
      </w:r>
      <w:r>
        <w:rPr>
          <w:rFonts w:hint="eastAsia" w:ascii="仿宋_GB2312" w:eastAsia="仿宋_GB2312"/>
          <w:sz w:val="28"/>
          <w:szCs w:val="28"/>
        </w:rPr>
        <w:t>万元，增长</w:t>
      </w:r>
      <w:r>
        <w:rPr>
          <w:rFonts w:hint="eastAsia" w:ascii="仿宋_GB2312" w:eastAsia="仿宋_GB2312"/>
          <w:sz w:val="28"/>
          <w:szCs w:val="28"/>
          <w:lang w:val="en-US" w:eastAsia="zh-CN"/>
        </w:rPr>
        <w:t>40.01</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文物</w:t>
      </w:r>
      <w:r>
        <w:rPr>
          <w:rFonts w:hint="eastAsia" w:ascii="仿宋_GB2312" w:eastAsia="仿宋_GB2312"/>
          <w:sz w:val="28"/>
          <w:szCs w:val="28"/>
        </w:rPr>
        <w:t>”（款）202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57106.29</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16319.48</w:t>
      </w:r>
      <w:r>
        <w:rPr>
          <w:rFonts w:hint="eastAsia" w:ascii="仿宋_GB2312" w:eastAsia="仿宋_GB2312"/>
          <w:sz w:val="28"/>
          <w:szCs w:val="28"/>
        </w:rPr>
        <w:t>万元，增长</w:t>
      </w:r>
      <w:r>
        <w:rPr>
          <w:rFonts w:hint="eastAsia" w:ascii="仿宋_GB2312" w:eastAsia="仿宋_GB2312"/>
          <w:sz w:val="28"/>
          <w:szCs w:val="28"/>
          <w:lang w:val="en-US" w:eastAsia="zh-CN"/>
        </w:rPr>
        <w:t>40.01</w:t>
      </w:r>
      <w:r>
        <w:rPr>
          <w:rFonts w:hint="eastAsia" w:ascii="仿宋_GB2312" w:eastAsia="仿宋_GB2312"/>
          <w:sz w:val="28"/>
          <w:szCs w:val="28"/>
        </w:rPr>
        <w:t>%。主要原因：</w:t>
      </w:r>
      <w:r>
        <w:rPr>
          <w:rFonts w:hint="eastAsia" w:ascii="仿宋_GB2312" w:eastAsia="仿宋_GB2312"/>
          <w:sz w:val="28"/>
          <w:szCs w:val="28"/>
          <w:lang w:val="en-US" w:eastAsia="zh-CN"/>
        </w:rPr>
        <w:t>为完成市委市政府决策部署，保障北京大运河博物馆（首都博物馆东馆）2023年底顺利开馆，2023年年中追加了北京大运河博物馆（首都博物馆东馆）开办及运维相关项目经费</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3.“社会保障和就业支出”（类）2023年度决算150.50万元，比2023年度年初预算减少0.30万元，减少0.20%。</w:t>
      </w:r>
    </w:p>
    <w:p>
      <w:pPr>
        <w:pStyle w:val="2"/>
        <w:rPr>
          <w:rFonts w:hint="default"/>
          <w:lang w:val="en-US" w:eastAsia="zh-CN"/>
        </w:rPr>
      </w:pPr>
      <w:r>
        <w:rPr>
          <w:rFonts w:hint="eastAsia" w:ascii="仿宋_GB2312" w:eastAsia="仿宋_GB2312"/>
          <w:sz w:val="28"/>
          <w:szCs w:val="28"/>
          <w:lang w:val="en-US" w:eastAsia="zh-CN"/>
        </w:rPr>
        <w:t>“行政事业单位养老支出”（款）2023年度决算150.50万元，比2023年度年初预算减少0.30万元，减少0.20%。决算基本与年初预算持平。</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pStyle w:val="2"/>
        <w:rPr>
          <w:rFonts w:hint="eastAsia" w:ascii="仿宋_GB2312" w:eastAsia="仿宋_GB2312"/>
          <w:sz w:val="28"/>
          <w:szCs w:val="28"/>
        </w:rPr>
      </w:pPr>
      <w:r>
        <w:rPr>
          <w:rFonts w:hint="eastAsia" w:ascii="仿宋_GB2312" w:hAnsi="Times New Roman" w:eastAsia="仿宋_GB2312" w:cs="Times New Roman"/>
          <w:kern w:val="2"/>
          <w:sz w:val="28"/>
          <w:szCs w:val="28"/>
          <w:lang w:val="en-US" w:eastAsia="zh-CN" w:bidi="ar-SA"/>
        </w:rPr>
        <w:t>本单位无此项经费</w:t>
      </w:r>
      <w:r>
        <w:rPr>
          <w:rFonts w:hint="eastAsia" w:ascii="仿宋_GB2312" w:eastAsia="仿宋_GB2312" w:cs="Times New Roman"/>
          <w:kern w:val="2"/>
          <w:sz w:val="28"/>
          <w:szCs w:val="28"/>
          <w:lang w:val="en-US" w:eastAsia="zh-CN" w:bidi="ar-SA"/>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pStyle w:val="2"/>
        <w:rPr>
          <w:rFonts w:ascii="仿宋_GB2312" w:eastAsia="仿宋_GB2312"/>
          <w:sz w:val="28"/>
          <w:szCs w:val="28"/>
        </w:rPr>
      </w:pPr>
      <w:r>
        <w:rPr>
          <w:rFonts w:hint="eastAsia" w:ascii="仿宋_GB2312" w:hAnsi="Times New Roman" w:eastAsia="仿宋_GB2312" w:cs="Times New Roman"/>
          <w:kern w:val="2"/>
          <w:sz w:val="28"/>
          <w:szCs w:val="28"/>
          <w:lang w:val="en-US" w:eastAsia="zh-CN" w:bidi="ar-SA"/>
        </w:rPr>
        <w:t>本单位无此项经费</w:t>
      </w:r>
      <w:r>
        <w:rPr>
          <w:rFonts w:hint="eastAsia" w:ascii="仿宋_GB2312" w:eastAsia="仿宋_GB2312" w:cs="Times New Roman"/>
          <w:kern w:val="2"/>
          <w:sz w:val="28"/>
          <w:szCs w:val="28"/>
          <w:lang w:val="en-US" w:eastAsia="zh-CN" w:bidi="ar-SA"/>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pStyle w:val="2"/>
        <w:rPr>
          <w:rFonts w:ascii="仿宋_GB2312" w:eastAsia="仿宋_GB2312"/>
          <w:sz w:val="28"/>
          <w:szCs w:val="28"/>
        </w:rPr>
      </w:pPr>
      <w:r>
        <w:rPr>
          <w:rFonts w:hint="eastAsia" w:ascii="仿宋_GB2312" w:hAnsi="Times New Roman" w:eastAsia="仿宋_GB2312" w:cs="Times New Roman"/>
          <w:kern w:val="2"/>
          <w:sz w:val="28"/>
          <w:szCs w:val="28"/>
          <w:lang w:val="en-US" w:eastAsia="zh-CN" w:bidi="ar-SA"/>
        </w:rPr>
        <w:t>本单位无此项经费</w:t>
      </w:r>
      <w:r>
        <w:rPr>
          <w:rFonts w:hint="eastAsia" w:ascii="仿宋_GB2312" w:eastAsia="仿宋_GB2312" w:cs="Times New Roman"/>
          <w:kern w:val="2"/>
          <w:sz w:val="28"/>
          <w:szCs w:val="28"/>
          <w:lang w:val="en-US" w:eastAsia="zh-CN" w:bidi="ar-SA"/>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17022.18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、津贴补贴、伙食补助费、绩效工资、</w:t>
      </w:r>
      <w:r>
        <w:rPr>
          <w:rFonts w:hint="eastAsia" w:ascii="仿宋_GB2312" w:eastAsia="仿宋_GB2312"/>
          <w:sz w:val="28"/>
          <w:szCs w:val="28"/>
          <w:lang w:val="en-US" w:eastAsia="zh-CN"/>
        </w:rPr>
        <w:t>机关事业单位基本养老保险缴费、职业年金缴费、职工基本医疗保险缴费、公务员医疗补助缴费、</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val="en-US" w:eastAsia="zh-CN"/>
        </w:rPr>
        <w:t>住房公积金、</w:t>
      </w:r>
      <w:r>
        <w:rPr>
          <w:rFonts w:ascii="仿宋_GB2312" w:eastAsia="仿宋_GB2312"/>
          <w:sz w:val="28"/>
          <w:szCs w:val="28"/>
        </w:rPr>
        <w:t>其他工资福利支出</w:t>
      </w:r>
      <w:r>
        <w:rPr>
          <w:rFonts w:hint="eastAsia" w:ascii="仿宋_GB2312" w:eastAsia="仿宋_GB2312"/>
          <w:sz w:val="28"/>
          <w:szCs w:val="28"/>
        </w:rPr>
        <w:t>；（2）商品和服务支出包括</w:t>
      </w:r>
      <w:r>
        <w:rPr>
          <w:rFonts w:ascii="仿宋_GB2312" w:eastAsia="仿宋_GB2312"/>
          <w:sz w:val="28"/>
          <w:szCs w:val="28"/>
        </w:rPr>
        <w:t>办公费、印刷费、水费、电费、邮电费、取暖费、物业管理费、差旅费、维修（护）费、租赁费</w:t>
      </w:r>
      <w:r>
        <w:rPr>
          <w:rFonts w:hint="eastAsia" w:ascii="仿宋_GB2312" w:eastAsia="仿宋_GB2312"/>
          <w:sz w:val="28"/>
          <w:szCs w:val="28"/>
          <w:lang w:eastAsia="zh-CN"/>
        </w:rPr>
        <w:t>、</w:t>
      </w:r>
      <w:r>
        <w:rPr>
          <w:rFonts w:ascii="仿宋_GB2312" w:eastAsia="仿宋_GB2312"/>
          <w:sz w:val="28"/>
          <w:szCs w:val="28"/>
        </w:rPr>
        <w:t>培训费、工会经费、福利费、公务用车运行维护费、其他交通费、</w:t>
      </w:r>
      <w:r>
        <w:rPr>
          <w:rFonts w:hint="eastAsia" w:ascii="仿宋_GB2312" w:eastAsia="仿宋_GB2312"/>
          <w:sz w:val="28"/>
          <w:szCs w:val="28"/>
          <w:lang w:val="en-US" w:eastAsia="zh-CN"/>
        </w:rPr>
        <w:t>税金及附加费用、</w:t>
      </w:r>
      <w:r>
        <w:rPr>
          <w:rFonts w:ascii="仿宋_GB2312" w:eastAsia="仿宋_GB2312"/>
          <w:sz w:val="28"/>
          <w:szCs w:val="28"/>
        </w:rPr>
        <w:t>其他商品和服务支出</w:t>
      </w:r>
      <w:r>
        <w:rPr>
          <w:rFonts w:hint="eastAsia" w:ascii="仿宋_GB2312" w:eastAsia="仿宋_GB2312"/>
          <w:sz w:val="28"/>
          <w:szCs w:val="28"/>
        </w:rPr>
        <w:t>；（3）对个人和家庭补助支出包括</w:t>
      </w:r>
      <w:r>
        <w:rPr>
          <w:rFonts w:ascii="仿宋_GB2312" w:eastAsia="仿宋_GB2312"/>
          <w:sz w:val="28"/>
          <w:szCs w:val="28"/>
        </w:rPr>
        <w:t>离休费、退休费</w:t>
      </w:r>
      <w:r>
        <w:rPr>
          <w:rFonts w:hint="eastAsia" w:ascii="仿宋_GB2312" w:eastAsia="仿宋_GB2312"/>
          <w:sz w:val="28"/>
          <w:szCs w:val="28"/>
        </w:rPr>
        <w:t>、</w:t>
      </w:r>
      <w:r>
        <w:rPr>
          <w:rFonts w:ascii="仿宋_GB2312" w:eastAsia="仿宋_GB2312"/>
          <w:sz w:val="28"/>
          <w:szCs w:val="28"/>
        </w:rPr>
        <w:t>其他对个人和家庭的补助支出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lang w:eastAsia="zh-CN"/>
        </w:rPr>
        <w:t>、</w:t>
      </w:r>
      <w:r>
        <w:rPr>
          <w:rFonts w:hint="eastAsia" w:ascii="仿宋_GB2312" w:eastAsia="仿宋_GB2312"/>
          <w:sz w:val="28"/>
          <w:szCs w:val="28"/>
          <w:lang w:val="en-US" w:eastAsia="zh-CN"/>
        </w:rPr>
        <w:t>文物和陈列品购置、其他资本性支出</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w:t>
      </w:r>
      <w:r>
        <w:rPr>
          <w:rFonts w:hint="eastAsia" w:ascii="仿宋_GB2312" w:eastAsia="仿宋_GB2312"/>
          <w:sz w:val="28"/>
          <w:szCs w:val="28"/>
          <w:lang w:val="en-US" w:eastAsia="zh-CN"/>
        </w:rPr>
        <w:t>本</w:t>
      </w:r>
      <w:r>
        <w:rPr>
          <w:rFonts w:hint="eastAsia" w:ascii="仿宋_GB2312" w:eastAsia="仿宋_GB2312"/>
          <w:sz w:val="28"/>
          <w:szCs w:val="28"/>
        </w:rPr>
        <w:t>单位</w:t>
      </w:r>
      <w:r>
        <w:rPr>
          <w:rFonts w:hint="eastAsia" w:ascii="仿宋_GB2312" w:eastAsia="仿宋_GB2312"/>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16.59</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25.13</w:t>
      </w:r>
      <w:r>
        <w:rPr>
          <w:rFonts w:hint="eastAsia" w:ascii="仿宋_GB2312" w:eastAsia="仿宋_GB2312"/>
          <w:sz w:val="28"/>
          <w:szCs w:val="28"/>
        </w:rPr>
        <w:t>万元减少</w:t>
      </w:r>
      <w:r>
        <w:rPr>
          <w:rFonts w:ascii="仿宋_GB2312" w:eastAsia="仿宋_GB2312"/>
          <w:sz w:val="28"/>
          <w:szCs w:val="28"/>
        </w:rPr>
        <w:t>8.5</w:t>
      </w:r>
      <w:r>
        <w:rPr>
          <w:rFonts w:hint="eastAsia" w:ascii="仿宋_GB2312" w:eastAsia="仿宋_GB2312"/>
          <w:sz w:val="28"/>
          <w:szCs w:val="28"/>
          <w:highlight w:val="none"/>
          <w:lang w:val="en-US" w:eastAsia="zh-CN"/>
        </w:rPr>
        <w:t>4</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一致</w:t>
      </w:r>
      <w:r>
        <w:rPr>
          <w:rFonts w:hint="eastAsia" w:ascii="仿宋_GB2312" w:eastAsia="仿宋_GB2312"/>
          <w:sz w:val="28"/>
          <w:szCs w:val="28"/>
        </w:rPr>
        <w:t>。</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6.8</w:t>
      </w:r>
      <w:r>
        <w:rPr>
          <w:rFonts w:hint="eastAsia" w:ascii="仿宋_GB2312" w:eastAsia="仿宋_GB2312"/>
          <w:sz w:val="28"/>
          <w:szCs w:val="28"/>
          <w:lang w:val="en-US" w:eastAsia="zh-CN"/>
        </w:rPr>
        <w:t>0</w:t>
      </w:r>
      <w:r>
        <w:rPr>
          <w:rFonts w:hint="eastAsia" w:ascii="仿宋_GB2312" w:eastAsia="仿宋_GB2312"/>
          <w:sz w:val="28"/>
          <w:szCs w:val="28"/>
        </w:rPr>
        <w:t>万元减少</w:t>
      </w:r>
      <w:r>
        <w:rPr>
          <w:rFonts w:hint="eastAsia" w:ascii="仿宋_GB2312" w:eastAsia="仿宋_GB2312"/>
          <w:sz w:val="28"/>
          <w:szCs w:val="28"/>
          <w:lang w:val="en-US" w:eastAsia="zh-CN"/>
        </w:rPr>
        <w:t>6.80</w:t>
      </w:r>
      <w:r>
        <w:rPr>
          <w:rFonts w:hint="eastAsia" w:ascii="仿宋_GB2312" w:eastAsia="仿宋_GB2312"/>
          <w:sz w:val="28"/>
          <w:szCs w:val="28"/>
        </w:rPr>
        <w:t>万元。主要原因：落实政府过紧日子要求，厉行勤俭节约要求，严格控制公务接待</w:t>
      </w:r>
      <w:r>
        <w:rPr>
          <w:rFonts w:hint="eastAsia" w:ascii="仿宋_GB2312" w:eastAsia="仿宋_GB2312"/>
          <w:sz w:val="28"/>
          <w:szCs w:val="28"/>
          <w:lang w:val="en-US" w:eastAsia="zh-CN"/>
        </w:rPr>
        <w:t>手续及流程</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hint="eastAsia" w:ascii="仿宋_GB2312" w:eastAsia="仿宋_GB2312"/>
          <w:sz w:val="28"/>
          <w:szCs w:val="28"/>
          <w:lang w:val="en-US" w:eastAsia="zh-CN"/>
        </w:rPr>
        <w:t>我单位</w:t>
      </w:r>
      <w:r>
        <w:rPr>
          <w:rFonts w:hint="eastAsia" w:ascii="仿宋_GB2312" w:eastAsia="仿宋_GB2312"/>
          <w:sz w:val="28"/>
          <w:szCs w:val="28"/>
        </w:rPr>
        <w:t>公务接待</w:t>
      </w:r>
      <w:r>
        <w:rPr>
          <w:rFonts w:hint="eastAsia" w:ascii="仿宋_GB2312" w:eastAsia="仿宋_GB2312"/>
          <w:sz w:val="28"/>
          <w:szCs w:val="28"/>
          <w:lang w:val="en-US" w:eastAsia="zh-CN"/>
        </w:rPr>
        <w:t>0</w:t>
      </w:r>
      <w:r>
        <w:rPr>
          <w:rFonts w:hint="eastAsia" w:ascii="仿宋_GB2312" w:eastAsia="仿宋_GB2312"/>
          <w:sz w:val="28"/>
          <w:szCs w:val="28"/>
        </w:rPr>
        <w:t>批次，公务接待</w:t>
      </w:r>
      <w:r>
        <w:rPr>
          <w:rFonts w:hint="eastAsia" w:ascii="仿宋_GB2312" w:eastAsia="仿宋_GB2312"/>
          <w:sz w:val="28"/>
          <w:szCs w:val="28"/>
          <w:lang w:val="en-US"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16.59</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18.33</w:t>
      </w:r>
      <w:r>
        <w:rPr>
          <w:rFonts w:hint="eastAsia" w:ascii="仿宋_GB2312" w:eastAsia="仿宋_GB2312"/>
          <w:sz w:val="28"/>
          <w:szCs w:val="28"/>
        </w:rPr>
        <w:t>万元减少</w:t>
      </w:r>
      <w:r>
        <w:rPr>
          <w:rFonts w:hint="eastAsia" w:ascii="仿宋_GB2312" w:eastAsia="仿宋_GB2312"/>
          <w:sz w:val="28"/>
          <w:szCs w:val="28"/>
          <w:lang w:val="en-US" w:eastAsia="zh-CN"/>
        </w:rPr>
        <w:t>1.74</w:t>
      </w:r>
      <w:r>
        <w:rPr>
          <w:rFonts w:hint="eastAsia" w:ascii="仿宋_GB2312" w:eastAsia="仿宋_GB2312"/>
          <w:sz w:val="28"/>
          <w:szCs w:val="28"/>
        </w:rPr>
        <w:t>万元。</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一致。</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辆，车均购置费</w:t>
      </w:r>
      <w:r>
        <w:rPr>
          <w:rFonts w:hint="eastAsia" w:ascii="仿宋_GB2312" w:eastAsia="仿宋_GB2312"/>
          <w:sz w:val="28"/>
          <w:szCs w:val="28"/>
          <w:lang w:val="en-US" w:eastAsia="zh-CN"/>
        </w:rPr>
        <w:t>0</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16.59</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18.33</w:t>
      </w:r>
      <w:r>
        <w:rPr>
          <w:rFonts w:hint="eastAsia" w:ascii="仿宋_GB2312" w:eastAsia="仿宋_GB2312"/>
          <w:sz w:val="28"/>
          <w:szCs w:val="28"/>
        </w:rPr>
        <w:t>万元减少</w:t>
      </w:r>
      <w:r>
        <w:rPr>
          <w:rFonts w:hint="eastAsia" w:ascii="仿宋_GB2312" w:eastAsia="仿宋_GB2312"/>
          <w:sz w:val="28"/>
          <w:szCs w:val="28"/>
          <w:lang w:val="en-US" w:eastAsia="zh-CN"/>
        </w:rPr>
        <w:t>1.74</w:t>
      </w:r>
      <w:r>
        <w:rPr>
          <w:rFonts w:hint="eastAsia" w:ascii="仿宋_GB2312" w:eastAsia="仿宋_GB2312"/>
          <w:sz w:val="28"/>
          <w:szCs w:val="28"/>
        </w:rPr>
        <w:t>万元，主要原因：落实政府过紧日子要求，厉行勤俭节约要求，</w:t>
      </w:r>
      <w:r>
        <w:rPr>
          <w:rFonts w:hint="eastAsia" w:ascii="仿宋_GB2312" w:eastAsia="仿宋_GB2312"/>
          <w:sz w:val="28"/>
          <w:szCs w:val="28"/>
          <w:lang w:val="en-US" w:eastAsia="zh-CN"/>
        </w:rPr>
        <w:t>加强公务用车使用管理</w:t>
      </w:r>
      <w:r>
        <w:rPr>
          <w:rFonts w:hint="eastAsia" w:ascii="仿宋_GB2312" w:eastAsia="仿宋_GB2312"/>
          <w:sz w:val="28"/>
          <w:szCs w:val="28"/>
        </w:rPr>
        <w:t>，公务用车运行维护费相应减少。202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ascii="仿宋_GB2312" w:eastAsia="仿宋_GB2312"/>
          <w:sz w:val="28"/>
          <w:szCs w:val="28"/>
          <w:highlight w:val="none"/>
        </w:rPr>
        <w:t>3.71</w:t>
      </w:r>
      <w:r>
        <w:rPr>
          <w:rFonts w:hint="eastAsia" w:ascii="仿宋_GB2312" w:eastAsia="仿宋_GB2312"/>
          <w:sz w:val="28"/>
          <w:szCs w:val="28"/>
        </w:rPr>
        <w:t>万元，公务用车维修</w:t>
      </w:r>
      <w:r>
        <w:rPr>
          <w:rFonts w:ascii="仿宋_GB2312" w:eastAsia="仿宋_GB2312"/>
          <w:sz w:val="28"/>
          <w:szCs w:val="28"/>
          <w:highlight w:val="none"/>
        </w:rPr>
        <w:t>8.28</w:t>
      </w:r>
      <w:r>
        <w:rPr>
          <w:rFonts w:hint="eastAsia" w:ascii="仿宋_GB2312" w:eastAsia="仿宋_GB2312"/>
          <w:sz w:val="28"/>
          <w:szCs w:val="28"/>
        </w:rPr>
        <w:t>万元，公务用车保险</w:t>
      </w:r>
      <w:r>
        <w:rPr>
          <w:rFonts w:ascii="仿宋_GB2312" w:eastAsia="仿宋_GB2312"/>
          <w:sz w:val="28"/>
          <w:szCs w:val="28"/>
          <w:highlight w:val="none"/>
        </w:rPr>
        <w:t>2.1</w:t>
      </w:r>
      <w:r>
        <w:rPr>
          <w:rFonts w:hint="eastAsia" w:ascii="仿宋_GB2312" w:eastAsia="仿宋_GB2312"/>
          <w:sz w:val="28"/>
          <w:szCs w:val="28"/>
          <w:highlight w:val="none"/>
          <w:lang w:val="en-US" w:eastAsia="zh-CN"/>
        </w:rPr>
        <w:t>0</w:t>
      </w:r>
      <w:r>
        <w:rPr>
          <w:rFonts w:hint="eastAsia" w:ascii="仿宋_GB2312" w:eastAsia="仿宋_GB2312"/>
          <w:sz w:val="28"/>
          <w:szCs w:val="28"/>
        </w:rPr>
        <w:t>万元，公务用车其他支出</w:t>
      </w:r>
      <w:r>
        <w:rPr>
          <w:rFonts w:ascii="仿宋_GB2312" w:eastAsia="仿宋_GB2312"/>
          <w:sz w:val="28"/>
          <w:szCs w:val="28"/>
          <w:highlight w:val="none"/>
        </w:rPr>
        <w:t>2.5</w:t>
      </w:r>
      <w:r>
        <w:rPr>
          <w:rFonts w:hint="eastAsia" w:ascii="仿宋_GB2312" w:eastAsia="仿宋_GB2312"/>
          <w:sz w:val="28"/>
          <w:szCs w:val="28"/>
          <w:highlight w:val="none"/>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10</w:t>
      </w:r>
      <w:r>
        <w:rPr>
          <w:rFonts w:hint="eastAsia" w:ascii="仿宋_GB2312" w:eastAsia="仿宋_GB2312"/>
          <w:sz w:val="28"/>
          <w:szCs w:val="28"/>
        </w:rPr>
        <w:t>辆，车均运行维护费</w:t>
      </w:r>
      <w:r>
        <w:rPr>
          <w:rFonts w:hint="eastAsia" w:ascii="仿宋_GB2312" w:eastAsia="仿宋_GB2312"/>
          <w:sz w:val="28"/>
          <w:szCs w:val="28"/>
          <w:lang w:val="en-US" w:eastAsia="zh-CN"/>
        </w:rPr>
        <w:t>1.66</w:t>
      </w:r>
      <w:r>
        <w:rPr>
          <w:rFonts w:hint="eastAsia" w:ascii="仿宋_GB2312" w:eastAsia="仿宋_GB2312"/>
          <w:sz w:val="28"/>
          <w:szCs w:val="28"/>
        </w:rPr>
        <w:t>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我单位不在机关运行经费统计范围之内。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hint="eastAsia" w:ascii="仿宋_GB2312" w:eastAsia="仿宋_GB2312"/>
          <w:sz w:val="28"/>
          <w:szCs w:val="28"/>
          <w:lang w:val="en-US" w:eastAsia="zh-CN"/>
        </w:rPr>
        <w:t>38937.18</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11329.98</w:t>
      </w:r>
      <w:r>
        <w:rPr>
          <w:rFonts w:hint="eastAsia" w:ascii="仿宋_GB2312" w:eastAsia="仿宋_GB2312"/>
          <w:sz w:val="28"/>
          <w:szCs w:val="28"/>
        </w:rPr>
        <w:t>万元，政府采购工程支出</w:t>
      </w:r>
      <w:r>
        <w:rPr>
          <w:rFonts w:ascii="仿宋_GB2312" w:eastAsia="仿宋_GB2312"/>
          <w:sz w:val="28"/>
          <w:szCs w:val="28"/>
        </w:rPr>
        <w:t>1208.15</w:t>
      </w:r>
      <w:r>
        <w:rPr>
          <w:rFonts w:hint="eastAsia" w:ascii="仿宋_GB2312" w:eastAsia="仿宋_GB2312"/>
          <w:sz w:val="28"/>
          <w:szCs w:val="28"/>
        </w:rPr>
        <w:t>万元，政府采购服务支出</w:t>
      </w:r>
      <w:r>
        <w:rPr>
          <w:rFonts w:hint="eastAsia" w:ascii="仿宋_GB2312" w:eastAsia="仿宋_GB2312"/>
          <w:sz w:val="28"/>
          <w:szCs w:val="28"/>
          <w:lang w:val="en-US" w:eastAsia="zh-CN"/>
        </w:rPr>
        <w:t>26399.04</w:t>
      </w:r>
      <w:r>
        <w:rPr>
          <w:rFonts w:hint="eastAsia" w:ascii="仿宋_GB2312" w:eastAsia="仿宋_GB2312"/>
          <w:sz w:val="28"/>
          <w:szCs w:val="28"/>
        </w:rPr>
        <w:t>万元。授予中小企业合同金额</w:t>
      </w:r>
      <w:r>
        <w:rPr>
          <w:rFonts w:hint="eastAsia" w:ascii="仿宋_GB2312" w:eastAsia="仿宋_GB2312"/>
          <w:sz w:val="28"/>
          <w:szCs w:val="28"/>
          <w:highlight w:val="none"/>
          <w:lang w:val="en-US" w:eastAsia="zh-CN"/>
        </w:rPr>
        <w:t>17520.86</w:t>
      </w:r>
      <w:r>
        <w:rPr>
          <w:rFonts w:hint="eastAsia" w:ascii="仿宋_GB2312" w:eastAsia="仿宋_GB2312"/>
          <w:sz w:val="28"/>
          <w:szCs w:val="28"/>
        </w:rPr>
        <w:t>万元，占政府采购支出总额的</w:t>
      </w:r>
      <w:r>
        <w:rPr>
          <w:rFonts w:hint="eastAsia" w:ascii="仿宋_GB2312" w:eastAsia="仿宋_GB2312"/>
          <w:sz w:val="28"/>
          <w:szCs w:val="28"/>
          <w:highlight w:val="none"/>
          <w:lang w:val="en-US" w:eastAsia="zh-CN"/>
        </w:rPr>
        <w:t>45.00</w:t>
      </w:r>
      <w:r>
        <w:rPr>
          <w:rFonts w:hint="eastAsia" w:ascii="仿宋_GB2312" w:eastAsia="仿宋_GB2312"/>
          <w:sz w:val="28"/>
          <w:szCs w:val="28"/>
        </w:rPr>
        <w:t>%，其中：授予小微企业合同金额</w:t>
      </w:r>
      <w:r>
        <w:rPr>
          <w:rFonts w:hint="eastAsia" w:ascii="仿宋_GB2312" w:eastAsia="仿宋_GB2312"/>
          <w:sz w:val="28"/>
          <w:szCs w:val="28"/>
          <w:highlight w:val="none"/>
          <w:lang w:val="en-US" w:eastAsia="zh-CN"/>
        </w:rPr>
        <w:t>7773.17</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19.96</w:t>
      </w:r>
      <w:r>
        <w:rPr>
          <w:rFonts w:hint="eastAsia" w:ascii="仿宋_GB2312" w:eastAsia="仿宋_GB2312"/>
          <w:sz w:val="28"/>
          <w:szCs w:val="28"/>
          <w:highlight w:val="none"/>
        </w:rPr>
        <w:t>%</w:t>
      </w:r>
      <w:r>
        <w:rPr>
          <w:rFonts w:hint="eastAsia" w:ascii="仿宋_GB2312" w:eastAsia="仿宋_GB2312"/>
          <w:sz w:val="28"/>
          <w:szCs w:val="28"/>
        </w:rPr>
        <w:t>。授予小微企业</w:t>
      </w:r>
      <w:r>
        <w:rPr>
          <w:rFonts w:hint="eastAsia" w:ascii="仿宋_GB2312" w:eastAsia="仿宋_GB2312"/>
          <w:sz w:val="28"/>
          <w:szCs w:val="28"/>
          <w:lang w:val="en-US" w:eastAsia="zh-CN"/>
        </w:rPr>
        <w:t>合同金额占比不足，主要原因：</w:t>
      </w:r>
      <w:r>
        <w:rPr>
          <w:rFonts w:hint="eastAsia" w:ascii="仿宋_GB2312" w:eastAsia="仿宋_GB2312"/>
          <w:sz w:val="28"/>
          <w:szCs w:val="28"/>
        </w:rPr>
        <w:t>2023年</w:t>
      </w:r>
      <w:r>
        <w:rPr>
          <w:rFonts w:hint="eastAsia" w:ascii="仿宋_GB2312" w:eastAsia="仿宋_GB2312"/>
          <w:sz w:val="28"/>
          <w:szCs w:val="28"/>
          <w:lang w:val="en-US" w:eastAsia="zh-CN"/>
        </w:rPr>
        <w:t>度</w:t>
      </w:r>
      <w:r>
        <w:rPr>
          <w:rFonts w:hint="eastAsia" w:ascii="仿宋_GB2312" w:eastAsia="仿宋_GB2312"/>
          <w:sz w:val="28"/>
          <w:szCs w:val="28"/>
        </w:rPr>
        <w:t>政府采购项目主要是首</w:t>
      </w:r>
      <w:r>
        <w:rPr>
          <w:rFonts w:hint="eastAsia" w:ascii="仿宋_GB2312" w:eastAsia="仿宋_GB2312"/>
          <w:sz w:val="28"/>
          <w:szCs w:val="28"/>
          <w:lang w:val="en-US" w:eastAsia="zh-CN"/>
        </w:rPr>
        <w:t>都</w:t>
      </w:r>
      <w:r>
        <w:rPr>
          <w:rFonts w:hint="eastAsia" w:ascii="仿宋_GB2312" w:eastAsia="仿宋_GB2312"/>
          <w:sz w:val="28"/>
          <w:szCs w:val="28"/>
        </w:rPr>
        <w:t>博物馆基本陈列改陈和北京大运河博物馆（首都博物馆东馆）开办项目。考虑到项目的复杂程度，为保障高质量实现政府采购目标</w:t>
      </w:r>
      <w:r>
        <w:rPr>
          <w:rFonts w:hint="eastAsia" w:ascii="仿宋_GB2312" w:eastAsia="仿宋_GB2312"/>
          <w:sz w:val="28"/>
          <w:szCs w:val="28"/>
          <w:lang w:eastAsia="zh-CN"/>
        </w:rPr>
        <w:t>，部分项目未专门面向小微企业采购。</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122.00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12月31日，我单位</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318.74</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32</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16054.43</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w:t>
      </w:r>
      <w:bookmarkStart w:id="0" w:name="_GoBack"/>
      <w:bookmarkEnd w:id="0"/>
      <w:r>
        <w:rPr>
          <w:rFonts w:ascii="仿宋_GB2312" w:eastAsia="仿宋_GB2312"/>
          <w:sz w:val="28"/>
          <w:szCs w:val="28"/>
        </w:rPr>
        <w:t>财政支出管理和强化预算约束的有效措施。</w:t>
      </w:r>
    </w:p>
    <w:p>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pStyle w:val="2"/>
        <w:rPr>
          <w:rFonts w:hint="default" w:ascii="仿宋_GB2312" w:eastAsia="仿宋_GB2312"/>
          <w:sz w:val="28"/>
          <w:szCs w:val="28"/>
          <w:lang w:val="en-US" w:eastAsia="zh-CN"/>
        </w:rPr>
      </w:pPr>
      <w:r>
        <w:rPr>
          <w:rFonts w:hint="eastAsia" w:ascii="仿宋_GB2312" w:eastAsia="仿宋_GB2312"/>
          <w:sz w:val="28"/>
          <w:szCs w:val="28"/>
          <w:lang w:val="en-US" w:eastAsia="zh-CN"/>
        </w:rPr>
        <w:t>7.教育支出（类）进修及培训（款）培训支出（项）：反映行政事业单位除因公出国（境）培训费以外的，在培训期间发生的师资费、住宿费、伙食费、培训场地费、培训资料费、交通费等各类培训费用。</w:t>
      </w:r>
    </w:p>
    <w:p>
      <w:pPr>
        <w:pStyle w:val="2"/>
        <w:rPr>
          <w:rFonts w:hint="eastAsia" w:ascii="仿宋_GB2312" w:eastAsia="仿宋_GB2312"/>
          <w:sz w:val="28"/>
          <w:szCs w:val="28"/>
          <w:lang w:val="en-US" w:eastAsia="zh-CN"/>
        </w:rPr>
      </w:pPr>
      <w:r>
        <w:rPr>
          <w:rFonts w:hint="eastAsia" w:ascii="仿宋_GB2312" w:eastAsia="仿宋_GB2312"/>
          <w:sz w:val="28"/>
          <w:szCs w:val="28"/>
          <w:lang w:val="en-US" w:eastAsia="zh-CN"/>
        </w:rPr>
        <w:t>8.文化旅游体育与传媒支出（类）文物（款）博物馆（项）：</w:t>
      </w:r>
      <w:r>
        <w:rPr>
          <w:rFonts w:hint="eastAsia" w:ascii="仿宋_GB2312" w:eastAsia="仿宋_GB2312"/>
          <w:color w:val="000000"/>
          <w:kern w:val="0"/>
          <w:sz w:val="28"/>
          <w:szCs w:val="28"/>
        </w:rPr>
        <w:t>反映文物系统及其它部门所属博物馆、纪念馆方面的支出。</w:t>
      </w:r>
    </w:p>
    <w:p>
      <w:pPr>
        <w:pStyle w:val="2"/>
        <w:rPr>
          <w:rFonts w:hint="eastAsia" w:ascii="仿宋_GB2312" w:eastAsia="仿宋_GB2312"/>
          <w:sz w:val="28"/>
          <w:szCs w:val="28"/>
          <w:lang w:val="en-US" w:eastAsia="zh-CN"/>
        </w:rPr>
      </w:pPr>
      <w:r>
        <w:rPr>
          <w:rFonts w:hint="eastAsia" w:ascii="仿宋_GB2312" w:eastAsia="仿宋_GB2312"/>
          <w:sz w:val="28"/>
          <w:szCs w:val="28"/>
          <w:lang w:val="en-US" w:eastAsia="zh-CN"/>
        </w:rPr>
        <w:t>9.社会保障和就业支出（类）行政事业单位养老支出（款）其他行政事业单位养老支出（项）：</w:t>
      </w:r>
      <w:r>
        <w:rPr>
          <w:rFonts w:hint="eastAsia" w:ascii="仿宋_GB2312" w:eastAsia="仿宋_GB2312"/>
          <w:color w:val="000000"/>
          <w:kern w:val="0"/>
          <w:sz w:val="28"/>
          <w:szCs w:val="28"/>
        </w:rPr>
        <w:t>反映用于行政事业单位养老方面的支出。</w:t>
      </w:r>
    </w:p>
    <w:p>
      <w:pPr>
        <w:ind w:firstLine="632" w:firstLineChars="200"/>
        <w:rPr>
          <w:rFonts w:hint="eastAsia" w:ascii="仿宋_GB2312" w:hAnsi="Times New Roman" w:eastAsia="仿宋_GB2312" w:cs="Times New Roman"/>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3</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ind w:firstLine="560" w:firstLineChars="200"/>
        <w:rPr>
          <w:rFonts w:hint="eastAsia" w:ascii="黑体" w:eastAsia="黑体"/>
          <w:sz w:val="28"/>
          <w:szCs w:val="28"/>
          <w:lang w:eastAsia="zh-CN"/>
        </w:rPr>
      </w:pPr>
      <w:r>
        <w:rPr>
          <w:rFonts w:hint="eastAsia" w:ascii="黑体" w:eastAsia="黑体"/>
          <w:sz w:val="28"/>
          <w:szCs w:val="28"/>
        </w:rPr>
        <w:t>一、部门整体绩效评价报告</w:t>
      </w:r>
    </w:p>
    <w:p>
      <w:pPr>
        <w:pStyle w:val="2"/>
        <w:rPr>
          <w:rFonts w:hint="default" w:ascii="仿宋_GB2312" w:eastAsia="仿宋_GB2312"/>
          <w:sz w:val="28"/>
          <w:szCs w:val="28"/>
          <w:lang w:val="en-US" w:eastAsia="zh-CN"/>
        </w:rPr>
      </w:pPr>
      <w:r>
        <w:rPr>
          <w:rFonts w:hint="eastAsia" w:ascii="仿宋_GB2312" w:eastAsia="仿宋_GB2312"/>
          <w:sz w:val="28"/>
          <w:szCs w:val="28"/>
          <w:lang w:val="en-US" w:eastAsia="zh-CN"/>
        </w:rPr>
        <w:t>无。</w:t>
      </w:r>
    </w:p>
    <w:p>
      <w:pPr>
        <w:ind w:firstLine="560" w:firstLineChars="200"/>
        <w:rPr>
          <w:rFonts w:hint="eastAsia" w:ascii="黑体" w:eastAsia="黑体"/>
          <w:sz w:val="28"/>
          <w:szCs w:val="28"/>
        </w:rPr>
      </w:pPr>
      <w:r>
        <w:rPr>
          <w:rFonts w:hint="eastAsia" w:ascii="黑体" w:eastAsia="黑体"/>
          <w:sz w:val="28"/>
          <w:szCs w:val="28"/>
        </w:rPr>
        <w:t>二、项目支出绩效评价报告</w:t>
      </w:r>
    </w:p>
    <w:p>
      <w:pPr>
        <w:pStyle w:val="2"/>
        <w:rPr>
          <w:rFonts w:hint="eastAsia"/>
        </w:rPr>
      </w:pPr>
      <w:r>
        <w:rPr>
          <w:rFonts w:hint="eastAsia" w:ascii="仿宋_GB2312" w:eastAsia="仿宋_GB2312"/>
          <w:sz w:val="28"/>
          <w:szCs w:val="28"/>
          <w:lang w:val="en-US" w:eastAsia="zh-CN"/>
        </w:rPr>
        <w:t>无。</w:t>
      </w:r>
    </w:p>
    <w:p>
      <w:pPr>
        <w:ind w:firstLine="560" w:firstLineChars="200"/>
        <w:rPr>
          <w:rFonts w:hint="eastAsia"/>
        </w:rPr>
      </w:pPr>
      <w:r>
        <w:rPr>
          <w:rFonts w:hint="eastAsia" w:ascii="黑体" w:eastAsia="黑体"/>
          <w:sz w:val="28"/>
          <w:szCs w:val="28"/>
        </w:rPr>
        <w:t>三</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pPr>
        <w:rPr>
          <w:rFonts w:hint="eastAsia"/>
        </w:rPr>
      </w:pPr>
    </w:p>
    <w:p>
      <w:pPr>
        <w:pStyle w:val="3"/>
        <w:rPr>
          <w:rFonts w:hint="eastAsia"/>
        </w:rPr>
      </w:pPr>
    </w:p>
    <w:p>
      <w:pPr>
        <w:rPr>
          <w:rFonts w:hint="eastAsia"/>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14</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504D4A"/>
    <w:rsid w:val="03B96FDD"/>
    <w:rsid w:val="079004AC"/>
    <w:rsid w:val="0E1848CE"/>
    <w:rsid w:val="0F8E2C57"/>
    <w:rsid w:val="1036333D"/>
    <w:rsid w:val="1059665E"/>
    <w:rsid w:val="10AC13BA"/>
    <w:rsid w:val="194303C1"/>
    <w:rsid w:val="1AEC0734"/>
    <w:rsid w:val="1D8E534D"/>
    <w:rsid w:val="1DEF20B0"/>
    <w:rsid w:val="1F134A90"/>
    <w:rsid w:val="1F5E62E4"/>
    <w:rsid w:val="214243FA"/>
    <w:rsid w:val="22D94401"/>
    <w:rsid w:val="24CE2647"/>
    <w:rsid w:val="257A14F5"/>
    <w:rsid w:val="27196C26"/>
    <w:rsid w:val="29EF086F"/>
    <w:rsid w:val="2BBF4283"/>
    <w:rsid w:val="2EFFE297"/>
    <w:rsid w:val="301437CA"/>
    <w:rsid w:val="364F3CB5"/>
    <w:rsid w:val="3CD4199A"/>
    <w:rsid w:val="3FB52BD9"/>
    <w:rsid w:val="4260228A"/>
    <w:rsid w:val="433E495C"/>
    <w:rsid w:val="4AC27CB3"/>
    <w:rsid w:val="4BF72BEF"/>
    <w:rsid w:val="4D6003A9"/>
    <w:rsid w:val="50B84560"/>
    <w:rsid w:val="51DB3C59"/>
    <w:rsid w:val="55762E42"/>
    <w:rsid w:val="57A7B272"/>
    <w:rsid w:val="58470068"/>
    <w:rsid w:val="5A1720F9"/>
    <w:rsid w:val="5B35028F"/>
    <w:rsid w:val="5B9C37C2"/>
    <w:rsid w:val="5BA7C654"/>
    <w:rsid w:val="61A44530"/>
    <w:rsid w:val="638650FE"/>
    <w:rsid w:val="64C0607C"/>
    <w:rsid w:val="676F09E1"/>
    <w:rsid w:val="6B524F29"/>
    <w:rsid w:val="6B855893"/>
    <w:rsid w:val="6C891177"/>
    <w:rsid w:val="6D0C347A"/>
    <w:rsid w:val="6E5F7E18"/>
    <w:rsid w:val="6E890551"/>
    <w:rsid w:val="77607624"/>
    <w:rsid w:val="7A7F1C49"/>
    <w:rsid w:val="7B5B7AE6"/>
    <w:rsid w:val="7BA7071E"/>
    <w:rsid w:val="7BDF6DA8"/>
    <w:rsid w:val="7C7EDC1A"/>
    <w:rsid w:val="7CCED98D"/>
    <w:rsid w:val="7D08410F"/>
    <w:rsid w:val="7DB96DED"/>
    <w:rsid w:val="7DD3AD81"/>
    <w:rsid w:val="7F556ECA"/>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rtlCol="0" anchor="t" anchorCtr="1"/>
          <a:lstStyle/>
          <a:p>
            <a:pPr algn="l">
              <a:defRPr lang="zh-CN" sz="1800" b="1" i="0" u="none" strike="noStrike" kern="1200" baseline="0">
                <a:solidFill>
                  <a:schemeClr val="tx1"/>
                </a:solidFill>
                <a:latin typeface="+mn-lt"/>
                <a:ea typeface="+mn-ea"/>
                <a:cs typeface="+mn-cs"/>
              </a:defRPr>
            </a:pPr>
            <a:r>
              <a:rPr lang="en-US" sz="1400" b="0">
                <a:latin typeface="宋体" panose="02010600030101010101" charset="-122"/>
                <a:ea typeface="宋体" panose="02010600030101010101" charset="-122"/>
              </a:rPr>
              <a:t>收入决算</a:t>
            </a:r>
            <a:endParaRPr lang="en-US" sz="1400" b="0">
              <a:latin typeface="宋体" panose="02010600030101010101" charset="-122"/>
              <a:ea typeface="宋体" panose="02010600030101010101" charset="-122"/>
            </a:endParaRPr>
          </a:p>
        </c:rich>
      </c:tx>
      <c:layout/>
      <c:overlay val="0"/>
      <c:spPr>
        <a:noFill/>
        <a:ln>
          <a:noFill/>
        </a:ln>
        <a:effectLst/>
      </c:spPr>
    </c:title>
    <c:autoTitleDeleted val="0"/>
    <c:plotArea>
      <c:layout>
        <c:manualLayout>
          <c:layoutTarget val="inner"/>
          <c:xMode val="edge"/>
          <c:yMode val="edge"/>
          <c:x val="0.195872101397091"/>
          <c:y val="0.255622757560226"/>
          <c:w val="0.357931729799798"/>
          <c:h val="0.636883649410559"/>
        </c:manualLayout>
      </c:layout>
      <c:pieChart>
        <c:varyColors val="1"/>
        <c:ser>
          <c:idx val="0"/>
          <c:order val="0"/>
          <c:tx>
            <c:strRef>
              <c:f>Sheet1!$B$1</c:f>
              <c:strCache>
                <c:ptCount val="1"/>
                <c:pt idx="0">
                  <c:v>收入</c:v>
                </c:pt>
              </c:strCache>
            </c:strRef>
          </c:tx>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Lbls>
            <c:dLbl>
              <c:idx val="0"/>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solidFill>
                        <a:latin typeface="+mn-lt"/>
                        <a:ea typeface="+mn-ea"/>
                        <a:cs typeface="+mn-cs"/>
                      </a:defRPr>
                    </a:pPr>
                    <a:r>
                      <a:rPr sz="1050"/>
                      <a:t>59483.86</a:t>
                    </a:r>
                    <a:endParaRPr sz="1050"/>
                  </a:p>
                  <a:p>
                    <a:pPr defTabSz="914400">
                      <a:defRPr lang="zh-CN" sz="1000" b="0" i="0" u="none" strike="noStrike" kern="1200" baseline="0">
                        <a:solidFill>
                          <a:schemeClr val="tx1"/>
                        </a:solidFill>
                        <a:latin typeface="+mn-lt"/>
                        <a:ea typeface="+mn-ea"/>
                        <a:cs typeface="+mn-cs"/>
                      </a:defRPr>
                    </a:pPr>
                    <a:r>
                      <a:rPr sz="1050"/>
                      <a:t>9</a:t>
                    </a:r>
                    <a:r>
                      <a:rPr lang="en-US" altLang="zh-CN" sz="1050"/>
                      <a:t>8.66</a:t>
                    </a:r>
                    <a:r>
                      <a:rPr sz="1050"/>
                      <a:t>%</a:t>
                    </a:r>
                    <a:endParaRPr sz="1050"/>
                  </a:p>
                </c:rich>
              </c:tx>
              <c:dLblPos val="bestFit"/>
              <c:showLegendKey val="0"/>
              <c:showVal val="1"/>
              <c:showCatName val="0"/>
              <c:showSerName val="0"/>
              <c:showPercent val="1"/>
              <c:showBubbleSize val="0"/>
              <c:extLst>
                <c:ext xmlns:c15="http://schemas.microsoft.com/office/drawing/2012/chart" uri="{CE6537A1-D6FC-4f65-9D91-7224C49458BB}"/>
              </c:extLst>
            </c:dLbl>
            <c:dLbl>
              <c:idx val="1"/>
              <c:layout>
                <c:manualLayout>
                  <c:x val="-0.121460163908852"/>
                  <c:y val="0.070072233416381"/>
                </c:manualLayout>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solidFill>
                        <a:latin typeface="+mn-lt"/>
                        <a:ea typeface="+mn-ea"/>
                        <a:cs typeface="+mn-cs"/>
                      </a:defRPr>
                    </a:pPr>
                    <a:r>
                      <a:t>609.69</a:t>
                    </a:r>
                  </a:p>
                  <a:p>
                    <a:pPr defTabSz="914400">
                      <a:defRPr lang="zh-CN" sz="1000" b="0" i="0" u="none" strike="noStrike" kern="1200" baseline="0">
                        <a:solidFill>
                          <a:schemeClr val="tx1"/>
                        </a:solidFill>
                        <a:latin typeface="+mn-lt"/>
                        <a:ea typeface="+mn-ea"/>
                        <a:cs typeface="+mn-cs"/>
                      </a:defRPr>
                    </a:pPr>
                    <a:r>
                      <a:t>1</a:t>
                    </a:r>
                    <a:r>
                      <a:rPr lang="en-US" altLang="zh-CN"/>
                      <a:t>.01</a:t>
                    </a:r>
                    <a:r>
                      <a:t>%</a:t>
                    </a:r>
                  </a:p>
                </c:rich>
              </c:tx>
              <c:dLblPos val="bestFit"/>
              <c:showLegendKey val="0"/>
              <c:showVal val="1"/>
              <c:showCatName val="0"/>
              <c:showSerName val="0"/>
              <c:showPercent val="1"/>
              <c:showBubbleSize val="0"/>
              <c:extLst>
                <c:ext xmlns:c15="http://schemas.microsoft.com/office/drawing/2012/chart" uri="{CE6537A1-D6FC-4f65-9D91-7224C49458BB}">
                  <c15:layout>
                    <c:manualLayout>
                      <c:w val="0.108022468673484"/>
                      <c:h val="0.159405433111225"/>
                    </c:manualLayout>
                  </c15:layout>
                </c:ext>
              </c:extLst>
            </c:dLbl>
            <c:dLbl>
              <c:idx val="2"/>
              <c:layout>
                <c:manualLayout>
                  <c:x val="0.17012434180864"/>
                  <c:y val="0.0789877015915328"/>
                </c:manualLayout>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solidFill>
                        <a:latin typeface="+mn-lt"/>
                        <a:ea typeface="+mn-ea"/>
                        <a:cs typeface="+mn-cs"/>
                      </a:defRPr>
                    </a:pPr>
                    <a:r>
                      <a:t>197.07</a:t>
                    </a:r>
                  </a:p>
                  <a:p>
                    <a:pPr defTabSz="914400">
                      <a:defRPr lang="zh-CN" sz="1000" b="0" i="0" u="none" strike="noStrike" kern="1200" baseline="0">
                        <a:solidFill>
                          <a:schemeClr val="tx1"/>
                        </a:solidFill>
                        <a:latin typeface="+mn-lt"/>
                        <a:ea typeface="+mn-ea"/>
                        <a:cs typeface="+mn-cs"/>
                      </a:defRPr>
                    </a:pPr>
                    <a:r>
                      <a:t> 0</a:t>
                    </a:r>
                    <a:r>
                      <a:rPr lang="en-US" altLang="zh-CN"/>
                      <a:t>.33</a:t>
                    </a:r>
                    <a:r>
                      <a:t>%</a:t>
                    </a:r>
                  </a:p>
                </c:rich>
              </c:tx>
              <c:dLblPos val="bestFit"/>
              <c:showLegendKey val="0"/>
              <c:showVal val="1"/>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1"/>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Sheet1!$A$2:$A$4</c:f>
              <c:strCache>
                <c:ptCount val="3"/>
                <c:pt idx="0">
                  <c:v>财政拨款收入</c:v>
                </c:pt>
                <c:pt idx="1">
                  <c:v>事业收入</c:v>
                </c:pt>
                <c:pt idx="2">
                  <c:v>其他收入</c:v>
                </c:pt>
              </c:strCache>
            </c:strRef>
          </c:cat>
          <c:val>
            <c:numRef>
              <c:f>Sheet1!$B$2:$B$4</c:f>
              <c:numCache>
                <c:formatCode>General</c:formatCode>
                <c:ptCount val="3"/>
                <c:pt idx="0">
                  <c:v>59483.86</c:v>
                </c:pt>
                <c:pt idx="1">
                  <c:v>609.69</c:v>
                </c:pt>
                <c:pt idx="2">
                  <c:v>197.07</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a:solidFill>
                  <a:schemeClr val="bg1">
                    <a:lumMod val="50000"/>
                  </a:schemeClr>
                </a:solidFill>
                <a:latin typeface="+mn-ea"/>
                <a:ea typeface="+mn-ea"/>
              </a:rPr>
              <a:t>支出决算</a:t>
            </a:r>
            <a:endParaRPr>
              <a:solidFill>
                <a:schemeClr val="bg1">
                  <a:lumMod val="50000"/>
                </a:schemeClr>
              </a:solidFill>
              <a:latin typeface="+mn-ea"/>
              <a:ea typeface="+mn-ea"/>
            </a:endParaRPr>
          </a:p>
        </c:rich>
      </c:tx>
      <c:layout>
        <c:manualLayout>
          <c:xMode val="edge"/>
          <c:yMode val="edge"/>
          <c:x val="0.41625"/>
          <c:y val="0.0277777777777778"/>
        </c:manualLayout>
      </c:layout>
      <c:overlay val="0"/>
      <c:spPr>
        <a:noFill/>
        <a:ln>
          <a:noFill/>
        </a:ln>
        <a:effectLst/>
      </c:spPr>
    </c:title>
    <c:autoTitleDeleted val="0"/>
    <c:plotArea>
      <c:layout/>
      <c:pieChart>
        <c:varyColors val="1"/>
        <c:ser>
          <c:idx val="0"/>
          <c:order val="0"/>
          <c:tx>
            <c:strRef>
              <c:f>Sheet0!$B$1</c:f>
              <c:strCache>
                <c:ptCount val="1"/>
                <c:pt idx="0">
                  <c:v>支出</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dLbl>
              <c:idx val="0"/>
              <c:layout/>
              <c:tx>
                <c:rich>
                  <a:bodyPr rot="0" spcFirstLastPara="0" vertOverflow="ellipsis" vert="horz" wrap="square" lIns="38100" tIns="19050" rIns="38100" bIns="19050" anchor="ctr" anchorCtr="1"/>
                  <a:lstStyle/>
                  <a:p>
                    <a:pPr defTabSz="914400">
                      <a:defRPr lang="zh-CN" sz="900" b="0" i="0" u="none" strike="noStrike" kern="1200" baseline="0">
                        <a:solidFill>
                          <a:srgbClr val="404040">
                            <a:lumMod val="75000"/>
                            <a:lumOff val="25000"/>
                          </a:srgbClr>
                        </a:solidFill>
                        <a:latin typeface="+mn-lt"/>
                        <a:ea typeface="+mn-ea"/>
                        <a:cs typeface="+mn-cs"/>
                      </a:defRPr>
                    </a:pPr>
                    <a:r>
                      <a:rPr sz="1050">
                        <a:solidFill>
                          <a:sysClr val="windowText" lastClr="000000"/>
                        </a:solidFill>
                      </a:rPr>
                      <a:t>17070.3</a:t>
                    </a:r>
                    <a:r>
                      <a:rPr lang="en-US" altLang="zh-CN" sz="1050">
                        <a:solidFill>
                          <a:sysClr val="windowText" lastClr="000000"/>
                        </a:solidFill>
                      </a:rPr>
                      <a:t>0</a:t>
                    </a:r>
                    <a:endParaRPr sz="1050">
                      <a:solidFill>
                        <a:sysClr val="windowText" lastClr="000000"/>
                      </a:solidFill>
                    </a:endParaRPr>
                  </a:p>
                  <a:p>
                    <a:pPr defTabSz="914400">
                      <a:defRPr lang="zh-CN" sz="900" b="0" i="0" u="none" strike="noStrike" kern="1200" baseline="0">
                        <a:solidFill>
                          <a:srgbClr val="404040">
                            <a:lumMod val="75000"/>
                            <a:lumOff val="25000"/>
                          </a:srgbClr>
                        </a:solidFill>
                        <a:latin typeface="+mn-lt"/>
                        <a:ea typeface="+mn-ea"/>
                        <a:cs typeface="+mn-cs"/>
                      </a:defRPr>
                    </a:pPr>
                    <a:r>
                      <a:rPr sz="1050">
                        <a:solidFill>
                          <a:sysClr val="windowText" lastClr="000000"/>
                        </a:solidFill>
                      </a:rPr>
                      <a:t>29</a:t>
                    </a:r>
                    <a:r>
                      <a:rPr lang="en-US" altLang="zh-CN" sz="1050">
                        <a:solidFill>
                          <a:sysClr val="windowText" lastClr="000000"/>
                        </a:solidFill>
                      </a:rPr>
                      <a:t>.48</a:t>
                    </a:r>
                    <a:r>
                      <a:rPr sz="1050">
                        <a:solidFill>
                          <a:sysClr val="windowText" lastClr="000000"/>
                        </a:solidFill>
                      </a:rPr>
                      <a:t>%</a:t>
                    </a:r>
                    <a:endParaRPr sz="1050">
                      <a:solidFill>
                        <a:sysClr val="windowText" lastClr="000000"/>
                      </a:solidFill>
                    </a:endParaRPr>
                  </a:p>
                </c:rich>
              </c:tx>
              <c:dLblPos val="bestFit"/>
              <c:showLegendKey val="0"/>
              <c:showVal val="1"/>
              <c:showCatName val="0"/>
              <c:showSerName val="0"/>
              <c:showPercent val="1"/>
              <c:showBubbleSize val="0"/>
              <c:separator>.</c:separator>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defTabSz="914400">
                      <a:defRPr lang="zh-CN" sz="900" b="0" i="0" u="none" strike="noStrike" kern="1200" baseline="0">
                        <a:solidFill>
                          <a:srgbClr val="404040">
                            <a:lumMod val="75000"/>
                            <a:lumOff val="25000"/>
                          </a:srgbClr>
                        </a:solidFill>
                        <a:latin typeface="+mn-lt"/>
                        <a:ea typeface="+mn-ea"/>
                        <a:cs typeface="+mn-cs"/>
                      </a:defRPr>
                    </a:pPr>
                    <a:r>
                      <a:rPr sz="1050">
                        <a:solidFill>
                          <a:sysClr val="windowText" lastClr="000000"/>
                        </a:solidFill>
                      </a:rPr>
                      <a:t>40828.49</a:t>
                    </a:r>
                    <a:endParaRPr sz="1050">
                      <a:solidFill>
                        <a:sysClr val="windowText" lastClr="000000"/>
                      </a:solidFill>
                    </a:endParaRPr>
                  </a:p>
                  <a:p>
                    <a:pPr defTabSz="914400">
                      <a:defRPr lang="zh-CN" sz="900" b="0" i="0" u="none" strike="noStrike" kern="1200" baseline="0">
                        <a:solidFill>
                          <a:srgbClr val="404040">
                            <a:lumMod val="75000"/>
                            <a:lumOff val="25000"/>
                          </a:srgbClr>
                        </a:solidFill>
                        <a:latin typeface="+mn-lt"/>
                        <a:ea typeface="+mn-ea"/>
                        <a:cs typeface="+mn-cs"/>
                      </a:defRPr>
                    </a:pPr>
                    <a:r>
                      <a:rPr sz="1050">
                        <a:solidFill>
                          <a:sysClr val="windowText" lastClr="000000"/>
                        </a:solidFill>
                      </a:rPr>
                      <a:t>7</a:t>
                    </a:r>
                    <a:r>
                      <a:rPr lang="en-US" altLang="zh-CN" sz="1050">
                        <a:solidFill>
                          <a:sysClr val="windowText" lastClr="000000"/>
                        </a:solidFill>
                      </a:rPr>
                      <a:t>0.52</a:t>
                    </a:r>
                    <a:r>
                      <a:rPr sz="1050">
                        <a:solidFill>
                          <a:sysClr val="windowText" lastClr="000000"/>
                        </a:solidFill>
                      </a:rPr>
                      <a:t>%</a:t>
                    </a:r>
                    <a:endParaRPr sz="1050">
                      <a:solidFill>
                        <a:sysClr val="windowText" lastClr="000000"/>
                      </a:solidFill>
                    </a:endParaRPr>
                  </a:p>
                </c:rich>
              </c:tx>
              <c:dLblPos val="bestFit"/>
              <c:showLegendKey val="0"/>
              <c:showVal val="1"/>
              <c:showCatName val="0"/>
              <c:showSerName val="0"/>
              <c:showPercent val="1"/>
              <c:showBubbleSize val="0"/>
              <c:separator>.</c:separator>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1"/>
            <c:showCatName val="0"/>
            <c:showSerName val="0"/>
            <c:showPercent val="1"/>
            <c:showBubbleSize val="0"/>
            <c:separator>.</c:separator>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17070.3</c:v>
                </c:pt>
                <c:pt idx="1">
                  <c:v>40828.49</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3815</Words>
  <Characters>6095</Characters>
  <Lines>77</Lines>
  <Paragraphs>21</Paragraphs>
  <TotalTime>43</TotalTime>
  <ScaleCrop>false</ScaleCrop>
  <LinksUpToDate>false</LinksUpToDate>
  <CharactersWithSpaces>6114</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SDBWG</cp:lastModifiedBy>
  <cp:lastPrinted>2020-08-07T11:39:00Z</cp:lastPrinted>
  <dcterms:modified xsi:type="dcterms:W3CDTF">2024-08-26T03:13:53Z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B077350F0B774373AC18225681396F71</vt:lpwstr>
  </property>
</Properties>
</file>