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北京古代建筑博物馆</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ind w:firstLine="560" w:firstLineChars="200"/>
        <w:rPr>
          <w:rFonts w:ascii="仿宋_GB2312" w:eastAsia="仿宋_GB2312"/>
          <w:sz w:val="28"/>
          <w:szCs w:val="28"/>
        </w:rPr>
      </w:pPr>
      <w:r>
        <w:rPr>
          <w:rFonts w:hint="eastAsia" w:ascii="仿宋_GB2312" w:eastAsia="仿宋_GB2312"/>
          <w:sz w:val="28"/>
          <w:szCs w:val="28"/>
        </w:rPr>
        <w:t>北京古代建筑博物馆上级主管部门为北京市文物局，单位类型为公益一类事业单位，独立法人机构。</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主要职责：文物古建征集、保管，文物古建展览、宣传、讲解，历史知识普及，文物信息网络建立，中国古代建筑历史研究。</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北京古代</w:t>
      </w:r>
      <w:r>
        <w:rPr>
          <w:rFonts w:hint="eastAsia" w:ascii="仿宋_GB2312" w:eastAsia="仿宋_GB2312"/>
          <w:sz w:val="28"/>
          <w:szCs w:val="28"/>
          <w:lang w:eastAsia="zh-CN"/>
        </w:rPr>
        <w:t>建</w:t>
      </w:r>
      <w:r>
        <w:rPr>
          <w:rFonts w:hint="eastAsia" w:ascii="仿宋_GB2312" w:eastAsia="仿宋_GB2312"/>
          <w:sz w:val="28"/>
          <w:szCs w:val="28"/>
        </w:rPr>
        <w:t>筑博物馆机构数量：1个。馆内下设</w:t>
      </w:r>
      <w:r>
        <w:rPr>
          <w:rFonts w:ascii="仿宋_GB2312" w:eastAsia="仿宋_GB2312"/>
          <w:sz w:val="28"/>
          <w:szCs w:val="28"/>
        </w:rPr>
        <w:t>五个部门：办公室、</w:t>
      </w:r>
      <w:r>
        <w:rPr>
          <w:rFonts w:hint="eastAsia" w:ascii="仿宋_GB2312" w:eastAsia="仿宋_GB2312"/>
          <w:sz w:val="28"/>
          <w:szCs w:val="28"/>
        </w:rPr>
        <w:t>安全保卫</w:t>
      </w:r>
      <w:r>
        <w:rPr>
          <w:rFonts w:ascii="仿宋_GB2312" w:eastAsia="仿宋_GB2312"/>
          <w:sz w:val="28"/>
          <w:szCs w:val="28"/>
        </w:rPr>
        <w:t>部、文</w:t>
      </w:r>
      <w:r>
        <w:rPr>
          <w:rFonts w:hint="eastAsia" w:ascii="仿宋_GB2312" w:eastAsia="仿宋_GB2312"/>
          <w:sz w:val="28"/>
          <w:szCs w:val="28"/>
        </w:rPr>
        <w:t>物</w:t>
      </w:r>
      <w:r>
        <w:rPr>
          <w:rFonts w:ascii="仿宋_GB2312" w:eastAsia="仿宋_GB2312"/>
          <w:sz w:val="28"/>
          <w:szCs w:val="28"/>
        </w:rPr>
        <w:t>保护与发展部、</w:t>
      </w:r>
      <w:r>
        <w:rPr>
          <w:rFonts w:hint="eastAsia" w:ascii="仿宋_GB2312" w:eastAsia="仿宋_GB2312"/>
          <w:sz w:val="28"/>
          <w:szCs w:val="28"/>
        </w:rPr>
        <w:t>社教</w:t>
      </w:r>
      <w:r>
        <w:rPr>
          <w:rFonts w:ascii="仿宋_GB2312" w:eastAsia="仿宋_GB2312"/>
          <w:sz w:val="28"/>
          <w:szCs w:val="28"/>
        </w:rPr>
        <w:t>与信息部、陈列保管部。</w:t>
      </w:r>
    </w:p>
    <w:p>
      <w:pPr>
        <w:pStyle w:val="2"/>
        <w:ind w:firstLine="560"/>
        <w:rPr>
          <w:rFonts w:hint="eastAsia" w:ascii="仿宋_GB2312" w:eastAsia="仿宋_GB2312"/>
          <w:sz w:val="28"/>
          <w:szCs w:val="28"/>
        </w:rPr>
      </w:pPr>
      <w:r>
        <w:rPr>
          <w:rFonts w:hint="eastAsia" w:ascii="仿宋_GB2312" w:eastAsia="仿宋_GB2312"/>
          <w:sz w:val="28"/>
          <w:szCs w:val="28"/>
        </w:rPr>
        <w:t>下属单位数量：0个。</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行政编制0人，实有人数0人；事业编制39人，实有人数3</w:t>
      </w:r>
      <w:r>
        <w:rPr>
          <w:rFonts w:hint="eastAsia" w:ascii="仿宋_GB2312" w:eastAsia="仿宋_GB2312"/>
          <w:kern w:val="0"/>
          <w:sz w:val="28"/>
          <w:szCs w:val="28"/>
          <w:lang w:val="en-US" w:eastAsia="zh-CN"/>
        </w:rPr>
        <w:t>7</w:t>
      </w:r>
      <w:r>
        <w:rPr>
          <w:rFonts w:hint="eastAsia" w:ascii="仿宋_GB2312" w:eastAsia="仿宋_GB2312"/>
          <w:kern w:val="0"/>
          <w:sz w:val="28"/>
          <w:szCs w:val="28"/>
        </w:rPr>
        <w:t>人。离退休人员</w:t>
      </w:r>
      <w:r>
        <w:rPr>
          <w:rFonts w:hint="eastAsia" w:ascii="仿宋_GB2312" w:eastAsia="仿宋_GB2312"/>
          <w:kern w:val="0"/>
          <w:sz w:val="28"/>
          <w:szCs w:val="28"/>
          <w:lang w:val="en-US" w:eastAsia="zh-CN"/>
        </w:rPr>
        <w:t>30</w:t>
      </w:r>
      <w:r>
        <w:rPr>
          <w:rFonts w:hint="eastAsia" w:ascii="仿宋_GB2312" w:eastAsia="仿宋_GB2312"/>
          <w:kern w:val="0"/>
          <w:sz w:val="28"/>
          <w:szCs w:val="28"/>
        </w:rPr>
        <w:t>人，其中：离休0人，退休</w:t>
      </w:r>
      <w:r>
        <w:rPr>
          <w:rFonts w:hint="eastAsia" w:ascii="仿宋_GB2312" w:eastAsia="仿宋_GB2312"/>
          <w:kern w:val="0"/>
          <w:sz w:val="28"/>
          <w:szCs w:val="28"/>
          <w:lang w:val="en-US" w:eastAsia="zh-CN"/>
        </w:rPr>
        <w:t>30</w:t>
      </w:r>
      <w:r>
        <w:rPr>
          <w:rFonts w:hint="eastAsia" w:ascii="仿宋_GB2312" w:eastAsia="仿宋_GB2312"/>
          <w:kern w:val="0"/>
          <w:sz w:val="28"/>
          <w:szCs w:val="28"/>
        </w:rPr>
        <w:t>人。</w:t>
      </w:r>
    </w:p>
    <w:p>
      <w:pPr>
        <w:pStyle w:val="2"/>
      </w:pP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11103.67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5224.59</w:t>
      </w:r>
      <w:r>
        <w:rPr>
          <w:rFonts w:hint="eastAsia" w:ascii="仿宋_GB2312" w:eastAsia="仿宋_GB2312"/>
          <w:sz w:val="28"/>
          <w:szCs w:val="28"/>
        </w:rPr>
        <w:t>万元，增长</w:t>
      </w:r>
      <w:r>
        <w:rPr>
          <w:rFonts w:hint="eastAsia" w:ascii="仿宋_GB2312" w:eastAsia="仿宋_GB2312"/>
          <w:sz w:val="28"/>
          <w:szCs w:val="28"/>
          <w:lang w:val="en-US" w:eastAsia="zh-CN"/>
        </w:rPr>
        <w:t>88.87</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8373.2</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2506.60</w:t>
      </w:r>
      <w:r>
        <w:rPr>
          <w:rFonts w:hint="eastAsia" w:ascii="仿宋_GB2312" w:eastAsia="仿宋_GB2312"/>
          <w:sz w:val="28"/>
          <w:szCs w:val="28"/>
        </w:rPr>
        <w:t>万元，增长</w:t>
      </w:r>
      <w:r>
        <w:rPr>
          <w:rFonts w:hint="eastAsia" w:ascii="仿宋_GB2312" w:eastAsia="仿宋_GB2312"/>
          <w:sz w:val="28"/>
          <w:szCs w:val="28"/>
          <w:lang w:val="en-US" w:eastAsia="zh-CN"/>
        </w:rPr>
        <w:t>42.73</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7535.66</w:t>
      </w:r>
      <w:r>
        <w:rPr>
          <w:rFonts w:hint="eastAsia" w:ascii="仿宋_GB2312" w:eastAsia="仿宋_GB2312"/>
          <w:sz w:val="28"/>
          <w:szCs w:val="28"/>
        </w:rPr>
        <w:t>万元，占收入合计的</w:t>
      </w:r>
      <w:r>
        <w:rPr>
          <w:rFonts w:hint="eastAsia" w:ascii="仿宋_GB2312" w:eastAsia="仿宋_GB2312"/>
          <w:sz w:val="28"/>
          <w:szCs w:val="28"/>
          <w:lang w:val="en-US" w:eastAsia="zh-CN"/>
        </w:rPr>
        <w:t>90.00</w:t>
      </w:r>
      <w:r>
        <w:rPr>
          <w:rFonts w:hint="eastAsia" w:ascii="仿宋_GB2312" w:eastAsia="仿宋_GB2312"/>
          <w:sz w:val="28"/>
          <w:szCs w:val="28"/>
        </w:rPr>
        <w:t>%。其中：一般公共预算财政拨款收入</w:t>
      </w:r>
      <w:r>
        <w:rPr>
          <w:rFonts w:ascii="仿宋_GB2312" w:eastAsia="仿宋_GB2312"/>
          <w:sz w:val="28"/>
          <w:szCs w:val="28"/>
        </w:rPr>
        <w:t>7535.66</w:t>
      </w:r>
      <w:r>
        <w:rPr>
          <w:rFonts w:hint="eastAsia" w:ascii="仿宋_GB2312" w:eastAsia="仿宋_GB2312"/>
          <w:sz w:val="28"/>
          <w:szCs w:val="28"/>
        </w:rPr>
        <w:t>万元，占收入合计的</w:t>
      </w:r>
      <w:r>
        <w:rPr>
          <w:rFonts w:hint="eastAsia" w:ascii="仿宋_GB2312" w:eastAsia="仿宋_GB2312"/>
          <w:sz w:val="28"/>
          <w:szCs w:val="28"/>
          <w:lang w:val="en-US" w:eastAsia="zh-CN"/>
        </w:rPr>
        <w:t>90.00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120.22</w:t>
      </w:r>
      <w:r>
        <w:rPr>
          <w:rFonts w:hint="eastAsia" w:ascii="仿宋_GB2312" w:eastAsia="仿宋_GB2312"/>
          <w:sz w:val="28"/>
          <w:szCs w:val="28"/>
        </w:rPr>
        <w:t>万元，占收入合计的</w:t>
      </w:r>
      <w:r>
        <w:rPr>
          <w:rFonts w:hint="eastAsia" w:ascii="仿宋_GB2312" w:eastAsia="仿宋_GB2312"/>
          <w:sz w:val="28"/>
          <w:szCs w:val="28"/>
          <w:lang w:eastAsia="zh-CN"/>
        </w:rPr>
        <w:t>1.4</w:t>
      </w:r>
      <w:r>
        <w:rPr>
          <w:rFonts w:hint="eastAsia" w:ascii="仿宋_GB2312" w:eastAsia="仿宋_GB2312"/>
          <w:sz w:val="28"/>
          <w:szCs w:val="28"/>
          <w:lang w:val="en-US" w:eastAsia="zh-CN"/>
        </w:rPr>
        <w:t>4</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717.31</w:t>
      </w:r>
      <w:r>
        <w:rPr>
          <w:rFonts w:hint="eastAsia" w:ascii="仿宋_GB2312" w:eastAsia="仿宋_GB2312"/>
          <w:sz w:val="28"/>
          <w:szCs w:val="28"/>
        </w:rPr>
        <w:t>万元，占收入合计的</w:t>
      </w:r>
      <w:r>
        <w:rPr>
          <w:rFonts w:hint="eastAsia" w:ascii="仿宋_GB2312" w:eastAsia="仿宋_GB2312"/>
          <w:sz w:val="28"/>
          <w:szCs w:val="28"/>
          <w:lang w:eastAsia="zh-CN"/>
        </w:rPr>
        <w:t>8.56</w:t>
      </w:r>
      <w:r>
        <w:rPr>
          <w:rFonts w:hint="eastAsia" w:ascii="仿宋_GB2312" w:eastAsia="仿宋_GB2312"/>
          <w:sz w:val="28"/>
          <w:szCs w:val="28"/>
        </w:rPr>
        <w:t>%。</w:t>
      </w:r>
    </w:p>
    <w:p>
      <w:pPr>
        <w:bidi w:val="0"/>
        <w:ind w:firstLine="5120" w:firstLineChars="1600"/>
        <w:rPr>
          <w:rFonts w:hint="eastAsia" w:ascii="仿宋_GB2312" w:eastAsia="仿宋_GB2312"/>
          <w:b/>
          <w:bCs/>
          <w:color w:val="000000"/>
          <w:sz w:val="32"/>
        </w:rPr>
      </w:pPr>
    </w:p>
    <w:p>
      <w:pPr>
        <w:bidi w:val="0"/>
        <w:ind w:firstLine="5120" w:firstLineChars="1600"/>
        <w:rPr>
          <w:rFonts w:hint="eastAsia" w:ascii="仿宋_GB2312" w:eastAsia="仿宋_GB2312"/>
          <w:b/>
          <w:bCs/>
          <w:color w:val="000000"/>
          <w:sz w:val="32"/>
        </w:rPr>
      </w:pPr>
    </w:p>
    <w:p>
      <w:pPr>
        <w:bidi w:val="0"/>
        <w:ind w:firstLine="5120" w:firstLineChars="1600"/>
        <w:rPr>
          <w:rFonts w:hint="eastAsia" w:ascii="仿宋_GB2312" w:eastAsia="仿宋_GB2312"/>
          <w:b/>
          <w:bCs/>
          <w:color w:val="000000"/>
          <w:sz w:val="32"/>
        </w:rPr>
      </w:pPr>
    </w:p>
    <w:p>
      <w:pPr>
        <w:bidi w:val="0"/>
        <w:ind w:firstLine="5120" w:firstLineChars="1600"/>
        <w:rPr>
          <w:rFonts w:hint="eastAsia" w:ascii="仿宋_GB2312" w:eastAsia="仿宋_GB2312"/>
          <w:b/>
          <w:bCs/>
          <w:color w:val="000000"/>
          <w:sz w:val="32"/>
        </w:rPr>
      </w:pPr>
    </w:p>
    <w:p>
      <w:pPr>
        <w:bidi w:val="0"/>
        <w:ind w:firstLine="5120" w:firstLineChars="1600"/>
        <w:rPr>
          <w:rFonts w:hint="eastAsia" w:ascii="仿宋_GB2312" w:eastAsia="仿宋_GB2312"/>
          <w:b/>
          <w:bCs/>
          <w:color w:val="000000"/>
          <w:sz w:val="32"/>
        </w:rPr>
      </w:pPr>
    </w:p>
    <w:p>
      <w:pPr>
        <w:bidi w:val="0"/>
        <w:ind w:firstLine="5120" w:firstLineChars="1600"/>
        <w:rPr>
          <w:rFonts w:hint="eastAsia" w:ascii="仿宋_GB2312" w:eastAsia="仿宋_GB2312"/>
          <w:b/>
          <w:bCs/>
          <w:color w:val="000000"/>
          <w:sz w:val="32"/>
        </w:rPr>
      </w:pPr>
    </w:p>
    <w:p>
      <w:pPr>
        <w:bidi w:val="0"/>
        <w:ind w:firstLine="5120" w:firstLineChars="1600"/>
        <w:rPr>
          <w:rFonts w:hint="eastAsia" w:ascii="仿宋_GB2312" w:eastAsia="仿宋_GB2312"/>
          <w:b/>
          <w:bCs/>
          <w:color w:val="000000"/>
          <w:sz w:val="32"/>
        </w:rPr>
      </w:pPr>
    </w:p>
    <w:p>
      <w:pPr>
        <w:bidi w:val="0"/>
        <w:ind w:firstLine="5120" w:firstLineChars="1600"/>
        <w:rPr>
          <w:rFonts w:hint="eastAsia" w:ascii="仿宋_GB2312" w:eastAsia="仿宋_GB2312"/>
          <w:b/>
          <w:bCs/>
          <w:color w:val="000000"/>
          <w:sz w:val="32"/>
        </w:rPr>
      </w:pPr>
    </w:p>
    <w:p>
      <w:pPr>
        <w:bidi w:val="0"/>
        <w:ind w:firstLine="5120" w:firstLineChars="1600"/>
        <w:rPr>
          <w:rFonts w:hint="eastAsia" w:ascii="仿宋_GB2312" w:eastAsia="仿宋_GB2312"/>
          <w:b/>
          <w:bCs/>
          <w:color w:val="000000"/>
          <w:sz w:val="32"/>
        </w:rPr>
      </w:pPr>
      <w:r>
        <w:rPr>
          <w:rFonts w:hint="eastAsia" w:ascii="仿宋_GB2312" w:eastAsia="仿宋_GB2312"/>
          <w:b/>
          <w:bCs/>
          <w:color w:val="000000"/>
          <w:sz w:val="32"/>
        </w:rPr>
        <w:t>图1：收入</w:t>
      </w:r>
      <w:r>
        <w:rPr>
          <w:rFonts w:hint="eastAsia" w:ascii="仿宋_GB2312" w:eastAsia="仿宋_GB2312"/>
          <w:b/>
          <w:bCs/>
          <w:color w:val="000000"/>
          <w:sz w:val="32"/>
          <w:lang w:eastAsia="zh-CN"/>
        </w:rPr>
        <w:t>决</w:t>
      </w:r>
      <w:r>
        <w:rPr>
          <w:rFonts w:hint="eastAsia" w:ascii="仿宋_GB2312" w:eastAsia="仿宋_GB2312"/>
          <w:b/>
          <w:bCs/>
          <w:color w:val="000000"/>
          <w:sz w:val="32"/>
        </w:rPr>
        <w:t>算</w:t>
      </w:r>
    </w:p>
    <w:p>
      <w:pPr>
        <w:pStyle w:val="2"/>
        <w:rPr>
          <w:rFonts w:hint="eastAsia" w:eastAsia="宋体"/>
          <w:lang w:eastAsia="zh-CN"/>
        </w:rPr>
      </w:pPr>
      <w:r>
        <w:rPr>
          <w:rFonts w:hint="eastAsia"/>
          <w:lang w:val="en-US" w:eastAsia="zh-CN"/>
        </w:rPr>
        <w:t xml:space="preserve">                </w:t>
      </w:r>
      <w:bookmarkStart w:id="0" w:name="_GoBack"/>
      <w:r>
        <w:rPr>
          <w:rFonts w:hint="eastAsia" w:eastAsia="宋体"/>
          <w:lang w:eastAsia="zh-CN"/>
        </w:rPr>
        <w:drawing>
          <wp:inline distT="0" distB="0" distL="114300" distR="114300">
            <wp:extent cx="5868670" cy="3850640"/>
            <wp:effectExtent l="0" t="0" r="17780" b="1651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bookmarkEnd w:id="0"/>
    </w:p>
    <w:p>
      <w:pPr>
        <w:pStyle w:val="2"/>
        <w:ind w:firstLine="420"/>
        <w:jc w:val="center"/>
        <w:rPr>
          <w:rFonts w:hint="eastAsia" w:eastAsia="宋体"/>
          <w:lang w:eastAsia="zh-CN"/>
        </w:rP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8923.52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6039.05</w:t>
      </w:r>
      <w:r>
        <w:rPr>
          <w:rFonts w:hint="eastAsia" w:ascii="仿宋_GB2312" w:eastAsia="仿宋_GB2312"/>
          <w:sz w:val="28"/>
          <w:szCs w:val="28"/>
        </w:rPr>
        <w:t>万元，增长</w:t>
      </w:r>
      <w:r>
        <w:rPr>
          <w:rFonts w:hint="eastAsia" w:ascii="仿宋_GB2312" w:eastAsia="仿宋_GB2312"/>
          <w:sz w:val="28"/>
          <w:szCs w:val="28"/>
          <w:lang w:val="en-US" w:eastAsia="zh-CN"/>
        </w:rPr>
        <w:t>209.36</w:t>
      </w:r>
      <w:r>
        <w:rPr>
          <w:rFonts w:hint="eastAsia" w:ascii="仿宋_GB2312" w:eastAsia="仿宋_GB2312"/>
          <w:sz w:val="28"/>
          <w:szCs w:val="28"/>
        </w:rPr>
        <w:t>%，其中：基本支出</w:t>
      </w:r>
      <w:r>
        <w:rPr>
          <w:rFonts w:ascii="仿宋_GB2312" w:eastAsia="仿宋_GB2312"/>
          <w:sz w:val="28"/>
          <w:szCs w:val="28"/>
        </w:rPr>
        <w:t>2132.49</w:t>
      </w:r>
      <w:r>
        <w:rPr>
          <w:rFonts w:hint="eastAsia" w:ascii="仿宋_GB2312" w:eastAsia="仿宋_GB2312"/>
          <w:sz w:val="28"/>
          <w:szCs w:val="28"/>
        </w:rPr>
        <w:t>万元，占支出合计的</w:t>
      </w:r>
      <w:r>
        <w:rPr>
          <w:rFonts w:hint="eastAsia" w:ascii="仿宋_GB2312" w:eastAsia="仿宋_GB2312"/>
          <w:sz w:val="28"/>
          <w:szCs w:val="28"/>
          <w:lang w:eastAsia="zh-CN"/>
        </w:rPr>
        <w:t>23.</w:t>
      </w:r>
      <w:r>
        <w:rPr>
          <w:rFonts w:hint="eastAsia" w:ascii="仿宋_GB2312" w:eastAsia="仿宋_GB2312"/>
          <w:sz w:val="28"/>
          <w:szCs w:val="28"/>
          <w:lang w:val="en-US" w:eastAsia="zh-CN"/>
        </w:rPr>
        <w:t>90</w:t>
      </w:r>
      <w:r>
        <w:rPr>
          <w:rFonts w:hint="eastAsia" w:ascii="仿宋_GB2312" w:eastAsia="仿宋_GB2312"/>
          <w:sz w:val="28"/>
          <w:szCs w:val="28"/>
        </w:rPr>
        <w:t>%；项目支出</w:t>
      </w:r>
      <w:r>
        <w:rPr>
          <w:rFonts w:ascii="仿宋_GB2312" w:eastAsia="仿宋_GB2312"/>
          <w:sz w:val="28"/>
          <w:szCs w:val="28"/>
        </w:rPr>
        <w:t>6791.03</w:t>
      </w:r>
      <w:r>
        <w:rPr>
          <w:rFonts w:hint="eastAsia" w:ascii="仿宋_GB2312" w:eastAsia="仿宋_GB2312"/>
          <w:sz w:val="28"/>
          <w:szCs w:val="28"/>
        </w:rPr>
        <w:t>万元，占支出合计的</w:t>
      </w:r>
      <w:r>
        <w:rPr>
          <w:rFonts w:hint="eastAsia" w:ascii="仿宋_GB2312" w:eastAsia="仿宋_GB2312"/>
          <w:sz w:val="28"/>
          <w:szCs w:val="28"/>
          <w:lang w:eastAsia="zh-CN"/>
        </w:rPr>
        <w:t>76.1</w:t>
      </w:r>
      <w:r>
        <w:rPr>
          <w:rFonts w:hint="eastAsia" w:ascii="仿宋_GB2312" w:eastAsia="仿宋_GB2312"/>
          <w:sz w:val="28"/>
          <w:szCs w:val="28"/>
          <w:lang w:val="en-US" w:eastAsia="zh-CN"/>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lang w:eastAsia="zh-CN"/>
        </w:rPr>
      </w:pPr>
      <w:r>
        <w:rPr>
          <w:rFonts w:hint="eastAsia" w:ascii="黑体" w:eastAsia="黑体"/>
          <w:b/>
          <w:sz w:val="28"/>
          <w:szCs w:val="28"/>
          <w:lang w:eastAsia="zh-CN"/>
        </w:rPr>
        <w:drawing>
          <wp:inline distT="0" distB="0" distL="114300" distR="114300">
            <wp:extent cx="5080000" cy="3810000"/>
            <wp:effectExtent l="0" t="0" r="635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Style w:val="2"/>
        <w:rPr>
          <w:rFonts w:hint="eastAsia" w:ascii="黑体" w:eastAsia="黑体"/>
          <w:b/>
          <w:sz w:val="28"/>
          <w:szCs w:val="28"/>
          <w:lang w:eastAsia="zh-CN"/>
        </w:rPr>
      </w:pPr>
    </w:p>
    <w:p>
      <w:pPr>
        <w:pStyle w:val="2"/>
        <w:rPr>
          <w:rFonts w:hint="eastAsia" w:ascii="黑体" w:eastAsia="黑体"/>
          <w:b/>
          <w:sz w:val="28"/>
          <w:szCs w:val="28"/>
          <w:lang w:eastAsia="zh-CN"/>
        </w:rPr>
      </w:pP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10010.3</w:t>
      </w:r>
      <w:r>
        <w:rPr>
          <w:rFonts w:hint="eastAsia" w:ascii="仿宋_GB2312" w:eastAsia="仿宋_GB2312"/>
          <w:sz w:val="28"/>
          <w:szCs w:val="28"/>
          <w:lang w:val="en-US" w:eastAsia="zh-CN"/>
        </w:rPr>
        <w:t>0</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4528.06</w:t>
      </w:r>
      <w:r>
        <w:rPr>
          <w:rFonts w:hint="eastAsia" w:ascii="仿宋_GB2312" w:eastAsia="仿宋_GB2312"/>
          <w:sz w:val="28"/>
          <w:szCs w:val="28"/>
        </w:rPr>
        <w:t>万元，增长</w:t>
      </w:r>
      <w:r>
        <w:rPr>
          <w:rFonts w:hint="eastAsia" w:ascii="仿宋_GB2312" w:eastAsia="仿宋_GB2312"/>
          <w:sz w:val="28"/>
          <w:szCs w:val="28"/>
          <w:lang w:val="en-US" w:eastAsia="zh-CN"/>
        </w:rPr>
        <w:t>82.60</w:t>
      </w:r>
      <w:r>
        <w:rPr>
          <w:rFonts w:hint="eastAsia" w:ascii="仿宋_GB2312" w:eastAsia="仿宋_GB2312"/>
          <w:sz w:val="28"/>
          <w:szCs w:val="28"/>
        </w:rPr>
        <w:t>%。主要原因：以申遗工作重点任务为牵引，推进先农坛申遗保护工作，增加了文物修缮等</w:t>
      </w:r>
      <w:r>
        <w:rPr>
          <w:rFonts w:hint="eastAsia" w:ascii="仿宋_GB2312" w:eastAsia="仿宋_GB2312"/>
          <w:sz w:val="28"/>
          <w:szCs w:val="28"/>
          <w:lang w:eastAsia="zh-CN"/>
        </w:rPr>
        <w:t>工作</w:t>
      </w:r>
      <w:r>
        <w:rPr>
          <w:rFonts w:hint="eastAsia" w:ascii="仿宋_GB2312" w:eastAsia="仿宋_GB2312"/>
          <w:sz w:val="28"/>
          <w:szCs w:val="28"/>
        </w:rPr>
        <w:t>。</w:t>
      </w:r>
    </w:p>
    <w:p>
      <w:pPr>
        <w:pStyle w:val="2"/>
        <w:rPr>
          <w:rFonts w:hint="eastAsia"/>
        </w:rPr>
      </w:pP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8076.07</w:t>
      </w:r>
      <w:r>
        <w:rPr>
          <w:rFonts w:hint="eastAsia" w:ascii="仿宋_GB2312" w:eastAsia="仿宋_GB2312"/>
          <w:sz w:val="28"/>
          <w:szCs w:val="28"/>
        </w:rPr>
        <w:t>万元，主要用于以下方面（按大类）：教育支出0.8</w:t>
      </w:r>
      <w:r>
        <w:rPr>
          <w:rFonts w:hint="eastAsia" w:ascii="仿宋_GB2312" w:eastAsia="仿宋_GB2312"/>
          <w:sz w:val="28"/>
          <w:szCs w:val="28"/>
          <w:lang w:val="en-US" w:eastAsia="zh-CN"/>
        </w:rPr>
        <w:t>6</w:t>
      </w:r>
      <w:r>
        <w:rPr>
          <w:rFonts w:hint="eastAsia" w:ascii="仿宋_GB2312" w:eastAsia="仿宋_GB2312"/>
          <w:sz w:val="28"/>
          <w:szCs w:val="28"/>
        </w:rPr>
        <w:t>万元，占本年财政拨款支出0.0</w:t>
      </w:r>
      <w:r>
        <w:rPr>
          <w:rFonts w:hint="eastAsia" w:ascii="仿宋_GB2312" w:eastAsia="仿宋_GB2312"/>
          <w:sz w:val="28"/>
          <w:szCs w:val="28"/>
          <w:lang w:val="en-US" w:eastAsia="zh-CN"/>
        </w:rPr>
        <w:t>1</w:t>
      </w:r>
      <w:r>
        <w:rPr>
          <w:rFonts w:hint="eastAsia" w:ascii="仿宋_GB2312" w:eastAsia="仿宋_GB2312"/>
          <w:sz w:val="28"/>
          <w:szCs w:val="28"/>
        </w:rPr>
        <w:t>%；文化旅游体育与传媒支出</w:t>
      </w:r>
      <w:r>
        <w:rPr>
          <w:rFonts w:hint="eastAsia" w:ascii="仿宋_GB2312" w:eastAsia="仿宋_GB2312"/>
          <w:sz w:val="28"/>
          <w:szCs w:val="28"/>
          <w:lang w:val="en-US" w:eastAsia="zh-CN"/>
        </w:rPr>
        <w:t>8041.64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99.57</w:t>
      </w:r>
      <w:r>
        <w:rPr>
          <w:rFonts w:hint="eastAsia" w:ascii="仿宋_GB2312" w:eastAsia="仿宋_GB2312"/>
          <w:sz w:val="28"/>
          <w:szCs w:val="28"/>
        </w:rPr>
        <w:t>%；社会保障和就业支出</w:t>
      </w:r>
      <w:r>
        <w:rPr>
          <w:rFonts w:hint="eastAsia" w:ascii="仿宋_GB2312" w:eastAsia="仿宋_GB2312"/>
          <w:sz w:val="28"/>
          <w:szCs w:val="28"/>
          <w:lang w:val="en-US" w:eastAsia="zh-CN"/>
        </w:rPr>
        <w:t>33.57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0.42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年度决算0.86万元，比202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1.94</w:t>
      </w:r>
      <w:r>
        <w:rPr>
          <w:rFonts w:hint="eastAsia" w:ascii="仿宋_GB2312" w:eastAsia="仿宋_GB2312"/>
          <w:sz w:val="28"/>
          <w:szCs w:val="28"/>
        </w:rPr>
        <w:t>万元，下降</w:t>
      </w:r>
      <w:r>
        <w:rPr>
          <w:rFonts w:hint="eastAsia" w:ascii="仿宋_GB2312" w:eastAsia="仿宋_GB2312"/>
          <w:sz w:val="28"/>
          <w:szCs w:val="28"/>
          <w:lang w:val="en-US" w:eastAsia="zh-CN"/>
        </w:rPr>
        <w:t>69.29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3</w:t>
      </w:r>
      <w:r>
        <w:rPr>
          <w:rFonts w:hint="eastAsia" w:ascii="仿宋_GB2312" w:eastAsia="仿宋_GB2312"/>
          <w:sz w:val="28"/>
          <w:szCs w:val="28"/>
        </w:rPr>
        <w:t>年度决算0.86万元，比202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1.94</w:t>
      </w:r>
      <w:r>
        <w:rPr>
          <w:rFonts w:hint="eastAsia" w:ascii="仿宋_GB2312" w:eastAsia="仿宋_GB2312"/>
          <w:sz w:val="28"/>
          <w:szCs w:val="28"/>
        </w:rPr>
        <w:t>万元，下降</w:t>
      </w:r>
      <w:r>
        <w:rPr>
          <w:rFonts w:hint="eastAsia" w:ascii="仿宋_GB2312" w:eastAsia="仿宋_GB2312"/>
          <w:sz w:val="28"/>
          <w:szCs w:val="28"/>
          <w:lang w:val="en-US" w:eastAsia="zh-CN"/>
        </w:rPr>
        <w:t>69.29</w:t>
      </w:r>
      <w:r>
        <w:rPr>
          <w:rFonts w:hint="eastAsia" w:ascii="仿宋_GB2312" w:eastAsia="仿宋_GB2312"/>
          <w:sz w:val="28"/>
          <w:szCs w:val="28"/>
        </w:rPr>
        <w:t>%。主要原因：贯彻厉行节约方针政策，压缩培训经费支出。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8041.64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3303.45</w:t>
      </w:r>
      <w:r>
        <w:rPr>
          <w:rFonts w:hint="eastAsia" w:ascii="仿宋_GB2312" w:eastAsia="仿宋_GB2312"/>
          <w:sz w:val="28"/>
          <w:szCs w:val="28"/>
        </w:rPr>
        <w:t>万元，增长</w:t>
      </w:r>
      <w:r>
        <w:rPr>
          <w:rFonts w:hint="eastAsia" w:ascii="仿宋_GB2312" w:eastAsia="仿宋_GB2312"/>
          <w:sz w:val="28"/>
          <w:szCs w:val="28"/>
          <w:lang w:val="en-US" w:eastAsia="zh-CN"/>
        </w:rPr>
        <w:t>69.72</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“文物”（款）202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8041.64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3303.45</w:t>
      </w:r>
      <w:r>
        <w:rPr>
          <w:rFonts w:hint="eastAsia" w:ascii="仿宋_GB2312" w:eastAsia="仿宋_GB2312"/>
          <w:sz w:val="28"/>
          <w:szCs w:val="28"/>
        </w:rPr>
        <w:t>万元，增长</w:t>
      </w:r>
      <w:r>
        <w:rPr>
          <w:rFonts w:hint="eastAsia" w:ascii="仿宋_GB2312" w:eastAsia="仿宋_GB2312"/>
          <w:sz w:val="28"/>
          <w:szCs w:val="28"/>
          <w:lang w:val="en-US" w:eastAsia="zh-CN"/>
        </w:rPr>
        <w:t>69.72</w:t>
      </w:r>
      <w:r>
        <w:rPr>
          <w:rFonts w:hint="eastAsia" w:ascii="仿宋_GB2312" w:eastAsia="仿宋_GB2312"/>
          <w:sz w:val="28"/>
          <w:szCs w:val="28"/>
        </w:rPr>
        <w:t>%。主要原因：以申遗工作重点任务为牵引，推进先农坛申遗保护工作，增加了文物修缮等</w:t>
      </w:r>
      <w:r>
        <w:rPr>
          <w:rFonts w:hint="eastAsia" w:ascii="仿宋_GB2312" w:eastAsia="仿宋_GB2312"/>
          <w:sz w:val="28"/>
          <w:szCs w:val="28"/>
          <w:lang w:eastAsia="zh-CN"/>
        </w:rPr>
        <w:t>工作</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33.57</w:t>
      </w:r>
      <w:r>
        <w:rPr>
          <w:rFonts w:hint="eastAsia" w:ascii="仿宋_GB2312" w:eastAsia="仿宋_GB2312"/>
          <w:sz w:val="28"/>
          <w:szCs w:val="28"/>
        </w:rPr>
        <w:t>万元，与202</w:t>
      </w:r>
      <w:r>
        <w:rPr>
          <w:rFonts w:hint="eastAsia" w:ascii="仿宋_GB2312" w:eastAsia="仿宋_GB2312"/>
          <w:sz w:val="28"/>
          <w:szCs w:val="28"/>
          <w:lang w:val="en-US" w:eastAsia="zh-CN"/>
        </w:rPr>
        <w:t>3</w:t>
      </w:r>
      <w:r>
        <w:rPr>
          <w:rFonts w:hint="eastAsia" w:ascii="仿宋_GB2312" w:eastAsia="仿宋_GB2312"/>
          <w:sz w:val="28"/>
          <w:szCs w:val="28"/>
        </w:rPr>
        <w:t>年度年初预算持平。其中：</w:t>
      </w:r>
    </w:p>
    <w:p>
      <w:pPr>
        <w:shd w:val="clear" w:color="auto" w:fill="FFFFFF"/>
        <w:spacing w:line="580" w:lineRule="exact"/>
        <w:ind w:firstLine="420" w:firstLineChars="200"/>
        <w:rPr>
          <w:rFonts w:hint="eastAsia" w:ascii="仿宋_GB2312" w:eastAsia="仿宋_GB2312"/>
          <w:sz w:val="28"/>
          <w:szCs w:val="28"/>
        </w:rPr>
      </w:pPr>
      <w:r>
        <w:rPr>
          <w:rFonts w:hint="eastAsia" w:eastAsia="仿宋_GB2312"/>
        </w:rPr>
        <w:t xml:space="preserve">    </w:t>
      </w: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33.57</w:t>
      </w:r>
      <w:r>
        <w:rPr>
          <w:rFonts w:hint="eastAsia" w:ascii="仿宋_GB2312" w:eastAsia="仿宋_GB2312"/>
          <w:sz w:val="28"/>
          <w:szCs w:val="28"/>
        </w:rPr>
        <w:t>万元，与202</w:t>
      </w:r>
      <w:r>
        <w:rPr>
          <w:rFonts w:hint="eastAsia" w:ascii="仿宋_GB2312" w:eastAsia="仿宋_GB2312"/>
          <w:sz w:val="28"/>
          <w:szCs w:val="28"/>
          <w:lang w:val="en-US" w:eastAsia="zh-CN"/>
        </w:rPr>
        <w:t>3</w:t>
      </w:r>
      <w:r>
        <w:rPr>
          <w:rFonts w:hint="eastAsia" w:ascii="仿宋_GB2312" w:eastAsia="仿宋_GB2312"/>
          <w:sz w:val="28"/>
          <w:szCs w:val="28"/>
        </w:rPr>
        <w:t>年度年初预算持平。</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pStyle w:val="2"/>
        <w:ind w:firstLine="1120" w:firstLineChars="400"/>
        <w:rPr>
          <w:rFonts w:ascii="仿宋_GB2312" w:eastAsia="仿宋_GB2312"/>
          <w:sz w:val="28"/>
          <w:szCs w:val="28"/>
        </w:rPr>
      </w:pPr>
      <w:r>
        <w:rPr>
          <w:rFonts w:hint="eastAsia" w:ascii="仿宋_GB2312" w:eastAsia="仿宋_GB2312"/>
          <w:sz w:val="28"/>
          <w:szCs w:val="28"/>
        </w:rPr>
        <w:t>本年度无此支项支出。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pStyle w:val="2"/>
        <w:ind w:firstLine="1120" w:firstLineChars="400"/>
      </w:pPr>
      <w:r>
        <w:rPr>
          <w:rFonts w:hint="eastAsia" w:ascii="仿宋_GB2312" w:eastAsia="仿宋_GB2312"/>
          <w:sz w:val="28"/>
          <w:szCs w:val="28"/>
        </w:rPr>
        <w:t>本年度无此支项支出。</w:t>
      </w:r>
    </w:p>
    <w:p>
      <w:pPr>
        <w:pStyle w:val="2"/>
      </w:pP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2048.49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1.05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3</w:t>
      </w:r>
      <w:r>
        <w:rPr>
          <w:rFonts w:hint="eastAsia" w:ascii="仿宋_GB2312" w:eastAsia="仿宋_GB2312"/>
          <w:sz w:val="28"/>
          <w:szCs w:val="28"/>
        </w:rPr>
        <w:t>万元减少</w:t>
      </w:r>
      <w:r>
        <w:rPr>
          <w:rFonts w:ascii="仿宋_GB2312" w:eastAsia="仿宋_GB2312"/>
          <w:sz w:val="28"/>
          <w:szCs w:val="28"/>
        </w:rPr>
        <w:t>1.9</w:t>
      </w:r>
      <w:r>
        <w:rPr>
          <w:rFonts w:hint="eastAsia" w:ascii="仿宋_GB2312" w:eastAsia="仿宋_GB2312"/>
          <w:sz w:val="28"/>
          <w:szCs w:val="28"/>
          <w:lang w:val="en-US" w:eastAsia="zh-CN"/>
        </w:rPr>
        <w:t>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eastAsia="zh-CN"/>
        </w:rPr>
        <w:t>本单位无因公出国（境）费用</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1</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hint="eastAsia" w:ascii="仿宋_GB2312" w:eastAsia="仿宋_GB2312"/>
          <w:sz w:val="28"/>
          <w:szCs w:val="28"/>
        </w:rPr>
        <w:t>万元。主要原因：落实</w:t>
      </w:r>
      <w:r>
        <w:rPr>
          <w:rFonts w:ascii="仿宋_GB2312" w:eastAsia="仿宋_GB2312"/>
          <w:sz w:val="28"/>
          <w:szCs w:val="28"/>
        </w:rPr>
        <w:t>政府过紧日子要求，厉行勤</w:t>
      </w:r>
      <w:r>
        <w:rPr>
          <w:rFonts w:hint="eastAsia" w:ascii="仿宋_GB2312" w:eastAsia="仿宋_GB2312"/>
          <w:sz w:val="28"/>
          <w:szCs w:val="28"/>
        </w:rPr>
        <w:t>俭</w:t>
      </w:r>
      <w:r>
        <w:rPr>
          <w:rFonts w:ascii="仿宋_GB2312" w:eastAsia="仿宋_GB2312"/>
          <w:sz w:val="28"/>
          <w:szCs w:val="28"/>
        </w:rPr>
        <w:t>节约要求，严格</w:t>
      </w:r>
      <w:r>
        <w:rPr>
          <w:rFonts w:hint="eastAsia" w:ascii="仿宋_GB2312" w:eastAsia="仿宋_GB2312"/>
          <w:sz w:val="28"/>
          <w:szCs w:val="28"/>
        </w:rPr>
        <w:t>控制</w:t>
      </w:r>
      <w:r>
        <w:rPr>
          <w:rFonts w:ascii="仿宋_GB2312" w:eastAsia="仿宋_GB2312"/>
          <w:sz w:val="28"/>
          <w:szCs w:val="28"/>
        </w:rPr>
        <w:t>公务接待</w:t>
      </w:r>
      <w:r>
        <w:rPr>
          <w:rFonts w:hint="eastAsia" w:ascii="仿宋_GB2312" w:eastAsia="仿宋_GB2312"/>
          <w:sz w:val="28"/>
          <w:szCs w:val="28"/>
        </w:rPr>
        <w:t>数量、</w:t>
      </w:r>
      <w:r>
        <w:rPr>
          <w:rFonts w:ascii="仿宋_GB2312" w:eastAsia="仿宋_GB2312"/>
          <w:sz w:val="28"/>
          <w:szCs w:val="28"/>
        </w:rPr>
        <w:t>规模和接待</w:t>
      </w:r>
      <w:r>
        <w:rPr>
          <w:rFonts w:hint="eastAsia" w:ascii="仿宋_GB2312" w:eastAsia="仿宋_GB2312"/>
          <w:sz w:val="28"/>
          <w:szCs w:val="28"/>
        </w:rPr>
        <w:t>标准。202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eastAsia="zh-CN"/>
        </w:rPr>
        <w:t>本单位无</w:t>
      </w:r>
      <w:r>
        <w:rPr>
          <w:rFonts w:hint="eastAsia" w:ascii="仿宋_GB2312" w:eastAsia="仿宋_GB2312"/>
          <w:sz w:val="28"/>
          <w:szCs w:val="28"/>
        </w:rPr>
        <w:t>公务接待费。</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1.05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2</w:t>
      </w:r>
      <w:r>
        <w:rPr>
          <w:rFonts w:hint="eastAsia" w:ascii="仿宋_GB2312" w:eastAsia="仿宋_GB2312"/>
          <w:sz w:val="28"/>
          <w:szCs w:val="28"/>
        </w:rPr>
        <w:t>万元增加减少</w:t>
      </w:r>
      <w:r>
        <w:rPr>
          <w:rFonts w:hint="eastAsia" w:ascii="仿宋_GB2312" w:eastAsia="仿宋_GB2312"/>
          <w:sz w:val="28"/>
          <w:szCs w:val="28"/>
          <w:lang w:val="en-US" w:eastAsia="zh-CN"/>
        </w:rPr>
        <w:t>0.95</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万元。主要原因：本</w:t>
      </w:r>
      <w:r>
        <w:rPr>
          <w:rFonts w:ascii="仿宋_GB2312" w:eastAsia="仿宋_GB2312"/>
          <w:sz w:val="28"/>
          <w:szCs w:val="28"/>
        </w:rPr>
        <w:t>单位</w:t>
      </w:r>
      <w:r>
        <w:rPr>
          <w:rFonts w:hint="eastAsia" w:ascii="仿宋_GB2312" w:eastAsia="仿宋_GB2312"/>
          <w:sz w:val="28"/>
          <w:szCs w:val="28"/>
        </w:rPr>
        <w:t>本</w:t>
      </w:r>
      <w:r>
        <w:rPr>
          <w:rFonts w:ascii="仿宋_GB2312" w:eastAsia="仿宋_GB2312"/>
          <w:sz w:val="28"/>
          <w:szCs w:val="28"/>
        </w:rPr>
        <w:t>年度无车辆购置费。</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1.05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2</w:t>
      </w:r>
      <w:r>
        <w:rPr>
          <w:rFonts w:hint="eastAsia" w:ascii="仿宋_GB2312" w:eastAsia="仿宋_GB2312"/>
          <w:sz w:val="28"/>
          <w:szCs w:val="28"/>
        </w:rPr>
        <w:t>万元减少</w:t>
      </w:r>
      <w:r>
        <w:rPr>
          <w:rFonts w:hint="eastAsia" w:ascii="仿宋_GB2312" w:eastAsia="仿宋_GB2312"/>
          <w:sz w:val="28"/>
          <w:szCs w:val="28"/>
          <w:lang w:val="en-US" w:eastAsia="zh-CN"/>
        </w:rPr>
        <w:t>0.95</w:t>
      </w:r>
      <w:r>
        <w:rPr>
          <w:rFonts w:hint="eastAsia" w:ascii="仿宋_GB2312" w:eastAsia="仿宋_GB2312"/>
          <w:sz w:val="28"/>
          <w:szCs w:val="28"/>
        </w:rPr>
        <w:t>万元，主要原因：落实</w:t>
      </w:r>
      <w:r>
        <w:rPr>
          <w:rFonts w:ascii="仿宋_GB2312" w:eastAsia="仿宋_GB2312"/>
          <w:sz w:val="28"/>
          <w:szCs w:val="28"/>
        </w:rPr>
        <w:t>政府过紧日子要求，厉行勤</w:t>
      </w:r>
      <w:r>
        <w:rPr>
          <w:rFonts w:hint="eastAsia" w:ascii="仿宋_GB2312" w:eastAsia="仿宋_GB2312"/>
          <w:sz w:val="28"/>
          <w:szCs w:val="28"/>
        </w:rPr>
        <w:t>俭</w:t>
      </w:r>
      <w:r>
        <w:rPr>
          <w:rFonts w:ascii="仿宋_GB2312" w:eastAsia="仿宋_GB2312"/>
          <w:sz w:val="28"/>
          <w:szCs w:val="28"/>
        </w:rPr>
        <w:t>节约要求，严格</w:t>
      </w:r>
      <w:r>
        <w:rPr>
          <w:rFonts w:hint="eastAsia" w:ascii="仿宋_GB2312" w:eastAsia="仿宋_GB2312"/>
          <w:sz w:val="28"/>
          <w:szCs w:val="28"/>
        </w:rPr>
        <w:t>控制</w:t>
      </w:r>
      <w:r>
        <w:rPr>
          <w:rFonts w:ascii="仿宋_GB2312" w:eastAsia="仿宋_GB2312"/>
          <w:sz w:val="28"/>
          <w:szCs w:val="28"/>
        </w:rPr>
        <w:t>公务</w:t>
      </w:r>
      <w:r>
        <w:rPr>
          <w:rFonts w:hint="eastAsia" w:ascii="仿宋_GB2312" w:eastAsia="仿宋_GB2312"/>
          <w:sz w:val="28"/>
          <w:szCs w:val="28"/>
        </w:rPr>
        <w:t>用</w:t>
      </w:r>
      <w:r>
        <w:rPr>
          <w:rFonts w:ascii="仿宋_GB2312" w:eastAsia="仿宋_GB2312"/>
          <w:sz w:val="28"/>
          <w:szCs w:val="28"/>
        </w:rPr>
        <w:t>车维护费，公务</w:t>
      </w:r>
      <w:r>
        <w:rPr>
          <w:rFonts w:hint="eastAsia" w:ascii="仿宋_GB2312" w:eastAsia="仿宋_GB2312"/>
          <w:sz w:val="28"/>
          <w:szCs w:val="28"/>
        </w:rPr>
        <w:t>车维护</w:t>
      </w:r>
      <w:r>
        <w:rPr>
          <w:rFonts w:ascii="仿宋_GB2312" w:eastAsia="仿宋_GB2312"/>
          <w:sz w:val="28"/>
          <w:szCs w:val="28"/>
        </w:rPr>
        <w:t>费相应减少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hint="eastAsia" w:ascii="仿宋_GB2312" w:eastAsia="仿宋_GB2312"/>
          <w:sz w:val="28"/>
          <w:szCs w:val="28"/>
          <w:highlight w:val="none"/>
          <w:lang w:val="en-US" w:eastAsia="zh-CN"/>
        </w:rPr>
        <w:t>0.80</w:t>
      </w:r>
      <w:r>
        <w:rPr>
          <w:rFonts w:hint="eastAsia" w:ascii="仿宋_GB2312" w:eastAsia="仿宋_GB2312"/>
          <w:sz w:val="28"/>
          <w:szCs w:val="28"/>
        </w:rPr>
        <w:t>万元，公务用车维修</w:t>
      </w:r>
      <w:r>
        <w:rPr>
          <w:rFonts w:ascii="仿宋_GB2312" w:eastAsia="仿宋_GB2312"/>
          <w:sz w:val="28"/>
          <w:szCs w:val="28"/>
          <w:highlight w:val="none"/>
        </w:rPr>
        <w:t>0</w:t>
      </w:r>
      <w:r>
        <w:rPr>
          <w:rFonts w:hint="eastAsia" w:ascii="仿宋_GB2312" w:eastAsia="仿宋_GB2312"/>
          <w:sz w:val="28"/>
          <w:szCs w:val="28"/>
        </w:rPr>
        <w:t>万元，公务用车保险</w:t>
      </w:r>
      <w:r>
        <w:rPr>
          <w:rFonts w:hint="eastAsia" w:ascii="仿宋_GB2312" w:eastAsia="仿宋_GB2312"/>
          <w:sz w:val="28"/>
          <w:szCs w:val="28"/>
          <w:highlight w:val="none"/>
          <w:lang w:val="en-US" w:eastAsia="zh-CN"/>
        </w:rPr>
        <w:t>0.15</w:t>
      </w:r>
      <w:r>
        <w:rPr>
          <w:rFonts w:hint="eastAsia" w:ascii="仿宋_GB2312" w:eastAsia="仿宋_GB2312"/>
          <w:sz w:val="28"/>
          <w:szCs w:val="28"/>
        </w:rPr>
        <w:t>万元，公务用车其他支出</w:t>
      </w:r>
      <w:r>
        <w:rPr>
          <w:rFonts w:hint="eastAsia" w:ascii="仿宋_GB2312" w:eastAsia="仿宋_GB2312"/>
          <w:sz w:val="28"/>
          <w:szCs w:val="28"/>
          <w:highlight w:val="none"/>
          <w:lang w:val="en-US" w:eastAsia="zh-CN"/>
        </w:rPr>
        <w:t>0.1</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辆，车均运行维护费</w:t>
      </w:r>
      <w:r>
        <w:rPr>
          <w:rFonts w:hint="eastAsia" w:ascii="仿宋_GB2312" w:eastAsia="仿宋_GB2312"/>
          <w:sz w:val="28"/>
          <w:szCs w:val="28"/>
          <w:lang w:val="en-US" w:eastAsia="zh-CN"/>
        </w:rPr>
        <w:t>1.05</w:t>
      </w:r>
      <w:r>
        <w:rPr>
          <w:rFonts w:hint="eastAsia" w:ascii="仿宋_GB2312" w:eastAsia="仿宋_GB2312"/>
          <w:sz w:val="28"/>
          <w:szCs w:val="28"/>
        </w:rPr>
        <w:t>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numPr>
          <w:ilvl w:val="0"/>
          <w:numId w:val="0"/>
        </w:numPr>
        <w:tabs>
          <w:tab w:val="center" w:pos="6979"/>
        </w:tabs>
        <w:ind w:firstLine="560" w:firstLineChars="200"/>
        <w:rPr>
          <w:rFonts w:hint="eastAsia" w:ascii="仿宋_GB2312" w:eastAsia="仿宋_GB2312"/>
          <w:sz w:val="28"/>
          <w:szCs w:val="28"/>
        </w:rPr>
      </w:pPr>
      <w:r>
        <w:rPr>
          <w:rFonts w:hint="eastAsia" w:ascii="仿宋_GB2312" w:eastAsia="仿宋_GB2312"/>
          <w:sz w:val="28"/>
          <w:szCs w:val="28"/>
        </w:rPr>
        <w:t>本单位不属于机关运行经费统计范围。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7824.38</w:t>
      </w:r>
      <w:r>
        <w:rPr>
          <w:rFonts w:hint="eastAsia" w:ascii="仿宋_GB2312" w:eastAsia="仿宋_GB2312"/>
          <w:sz w:val="28"/>
          <w:szCs w:val="28"/>
        </w:rPr>
        <w:t>万元，其中：政府采购货物支出</w:t>
      </w:r>
      <w:r>
        <w:rPr>
          <w:rFonts w:ascii="仿宋_GB2312" w:eastAsia="仿宋_GB2312"/>
          <w:sz w:val="28"/>
          <w:szCs w:val="28"/>
        </w:rPr>
        <w:t>6.1</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7818.28</w:t>
      </w:r>
      <w:r>
        <w:rPr>
          <w:rFonts w:hint="eastAsia" w:ascii="仿宋_GB2312" w:eastAsia="仿宋_GB2312"/>
          <w:sz w:val="28"/>
          <w:szCs w:val="28"/>
        </w:rPr>
        <w:t>万元。授予中小企业合同金额</w:t>
      </w:r>
      <w:r>
        <w:rPr>
          <w:rFonts w:ascii="仿宋_GB2312" w:eastAsia="仿宋_GB2312"/>
          <w:sz w:val="28"/>
          <w:szCs w:val="28"/>
        </w:rPr>
        <w:t>6883.6</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87.9</w:t>
      </w:r>
      <w:r>
        <w:rPr>
          <w:rFonts w:hint="eastAsia" w:ascii="仿宋_GB2312" w:eastAsia="仿宋_GB2312"/>
          <w:sz w:val="28"/>
          <w:szCs w:val="28"/>
          <w:lang w:val="en-US" w:eastAsia="zh-CN"/>
        </w:rPr>
        <w:t>8</w:t>
      </w:r>
      <w:r>
        <w:rPr>
          <w:rFonts w:hint="eastAsia" w:ascii="仿宋_GB2312" w:eastAsia="仿宋_GB2312"/>
          <w:sz w:val="28"/>
          <w:szCs w:val="28"/>
        </w:rPr>
        <w:t>%，其中：授予小微企业合同金额</w:t>
      </w:r>
      <w:r>
        <w:rPr>
          <w:rFonts w:ascii="仿宋_GB2312" w:eastAsia="仿宋_GB2312"/>
          <w:sz w:val="28"/>
          <w:szCs w:val="28"/>
        </w:rPr>
        <w:t>1526.74</w:t>
      </w:r>
      <w:r>
        <w:rPr>
          <w:rFonts w:hint="eastAsia" w:ascii="仿宋_GB2312" w:eastAsia="仿宋_GB2312"/>
          <w:sz w:val="28"/>
          <w:szCs w:val="28"/>
        </w:rPr>
        <w:t>万元，占政府采购支出总额的</w:t>
      </w:r>
      <w:r>
        <w:rPr>
          <w:rFonts w:hint="eastAsia" w:ascii="仿宋_GB2312" w:eastAsia="仿宋_GB2312"/>
          <w:sz w:val="28"/>
          <w:szCs w:val="28"/>
          <w:lang w:eastAsia="zh-CN"/>
        </w:rPr>
        <w:t>19.51</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12月31日，本单位</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18.19</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left="0" w:leftChars="0"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left="0" w:leftChars="0"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left="0" w:leftChars="0" w:firstLine="420" w:firstLineChars="150"/>
        <w:rPr>
          <w:rFonts w:ascii="仿宋_GB2312" w:eastAsia="仿宋_GB2312"/>
          <w:sz w:val="28"/>
          <w:szCs w:val="28"/>
        </w:rPr>
      </w:pPr>
      <w:r>
        <w:rPr>
          <w:rFonts w:hint="eastAsia" w:ascii="仿宋_GB2312" w:eastAsia="仿宋_GB2312"/>
          <w:sz w:val="28"/>
          <w:szCs w:val="28"/>
        </w:rPr>
        <w:t>7.当年使用的所有支出功能分类项级科目名词解释：</w:t>
      </w:r>
    </w:p>
    <w:p>
      <w:pPr>
        <w:pStyle w:val="2"/>
        <w:ind w:firstLine="560"/>
        <w:rPr>
          <w:rFonts w:hint="eastAsia" w:ascii="仿宋_GB2312" w:eastAsia="仿宋_GB2312"/>
          <w:sz w:val="28"/>
          <w:szCs w:val="28"/>
        </w:rPr>
      </w:pPr>
      <w:r>
        <w:rPr>
          <w:rFonts w:hint="eastAsia" w:ascii="仿宋_GB2312" w:eastAsia="仿宋_GB2312"/>
          <w:sz w:val="28"/>
          <w:szCs w:val="28"/>
        </w:rPr>
        <w:t>（1）教育支出（类）进修及培训（款）培训支出（项）：反映本单位安排的用于培训的支出。</w:t>
      </w:r>
    </w:p>
    <w:p>
      <w:pPr>
        <w:pStyle w:val="2"/>
        <w:ind w:firstLine="560"/>
        <w:rPr>
          <w:rFonts w:hint="eastAsia" w:ascii="仿宋_GB2312" w:eastAsia="仿宋_GB2312"/>
          <w:sz w:val="28"/>
          <w:szCs w:val="28"/>
        </w:rPr>
      </w:pPr>
      <w:r>
        <w:rPr>
          <w:rFonts w:hint="eastAsia" w:ascii="仿宋_GB2312" w:eastAsia="仿宋_GB2312"/>
          <w:sz w:val="28"/>
          <w:szCs w:val="28"/>
        </w:rPr>
        <w:t>（2）文化旅游体育与传媒支出（类）文化和旅游（款）其它文化和旅游支出（项）：反映用于其它文化和旅游方面的支出。</w:t>
      </w:r>
    </w:p>
    <w:p>
      <w:pPr>
        <w:pStyle w:val="2"/>
        <w:ind w:firstLine="560"/>
        <w:rPr>
          <w:rFonts w:hint="eastAsia" w:ascii="仿宋_GB2312" w:eastAsia="仿宋_GB2312"/>
          <w:sz w:val="28"/>
          <w:szCs w:val="28"/>
        </w:rPr>
      </w:pPr>
      <w:r>
        <w:rPr>
          <w:rFonts w:hint="eastAsia" w:ascii="仿宋_GB2312" w:eastAsia="仿宋_GB2312"/>
          <w:sz w:val="28"/>
          <w:szCs w:val="28"/>
        </w:rPr>
        <w:t>（3）文化旅游体育与传媒支出（类）文物（款）行政运行（项）：反映行政单位（包括实行公务员管理的事业单位）的基本支出。</w:t>
      </w:r>
    </w:p>
    <w:p>
      <w:pPr>
        <w:pStyle w:val="2"/>
        <w:tabs>
          <w:tab w:val="left" w:pos="851"/>
        </w:tabs>
        <w:ind w:firstLine="198" w:firstLineChars="71"/>
        <w:rPr>
          <w:rFonts w:hint="eastAsia" w:ascii="仿宋_GB2312" w:eastAsia="仿宋_GB2312"/>
          <w:sz w:val="28"/>
          <w:szCs w:val="28"/>
        </w:rPr>
      </w:pPr>
      <w:r>
        <w:rPr>
          <w:rFonts w:hint="eastAsia" w:ascii="仿宋_GB2312" w:eastAsia="仿宋_GB2312"/>
          <w:sz w:val="28"/>
          <w:szCs w:val="28"/>
        </w:rPr>
        <w:t xml:space="preserve">   （4）文化旅游体育与传媒支出（类）文物（款）文物保护（项）：反映考古发掘及文物保护方面的支出。</w:t>
      </w:r>
    </w:p>
    <w:p>
      <w:pPr>
        <w:pStyle w:val="2"/>
        <w:ind w:firstLine="565" w:firstLineChars="202"/>
        <w:rPr>
          <w:rFonts w:hint="eastAsia" w:ascii="仿宋_GB2312" w:eastAsia="仿宋_GB2312"/>
          <w:sz w:val="28"/>
          <w:szCs w:val="28"/>
        </w:rPr>
      </w:pPr>
      <w:r>
        <w:rPr>
          <w:rFonts w:hint="eastAsia" w:ascii="仿宋_GB2312" w:eastAsia="仿宋_GB2312"/>
          <w:sz w:val="28"/>
          <w:szCs w:val="28"/>
        </w:rPr>
        <w:t>（5）文化旅游体育与传媒支出（类）文物（款）博物馆（项）：反映文物系统及其它部门所属博物馆、纪念馆方面的支出。</w:t>
      </w:r>
    </w:p>
    <w:p>
      <w:pPr>
        <w:pStyle w:val="2"/>
        <w:ind w:firstLine="560"/>
        <w:rPr>
          <w:rFonts w:hint="eastAsia" w:ascii="仿宋_GB2312" w:eastAsia="仿宋_GB2312"/>
          <w:sz w:val="28"/>
          <w:szCs w:val="28"/>
        </w:rPr>
      </w:pPr>
      <w:r>
        <w:rPr>
          <w:rFonts w:hint="eastAsia" w:ascii="仿宋_GB2312" w:eastAsia="仿宋_GB2312"/>
          <w:sz w:val="28"/>
          <w:szCs w:val="28"/>
        </w:rPr>
        <w:t>（6）文化旅游体育与传媒支出（类）文物（款）历史名城与古迹（项）：反映历史名城、世界遗产规划与古迹保护等方面的支出。</w:t>
      </w:r>
    </w:p>
    <w:p>
      <w:pPr>
        <w:pStyle w:val="2"/>
        <w:ind w:firstLine="560"/>
        <w:rPr>
          <w:rFonts w:hint="eastAsia" w:ascii="仿宋_GB2312" w:eastAsia="仿宋_GB2312"/>
          <w:sz w:val="28"/>
          <w:szCs w:val="28"/>
        </w:rPr>
      </w:pPr>
      <w:r>
        <w:rPr>
          <w:rFonts w:hint="eastAsia" w:ascii="仿宋_GB2312" w:eastAsia="仿宋_GB2312"/>
          <w:sz w:val="28"/>
          <w:szCs w:val="28"/>
        </w:rPr>
        <w:t>（7）文化旅游体育与传媒支出（类）文物（款）其他文物支出（项）：反映除上述项目以外其他用于文物方面的支出。</w:t>
      </w:r>
    </w:p>
    <w:p>
      <w:pPr>
        <w:pStyle w:val="2"/>
        <w:ind w:firstLine="560"/>
        <w:rPr>
          <w:rFonts w:hint="eastAsia"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pStyle w:val="2"/>
        <w:ind w:firstLine="560"/>
        <w:rPr>
          <w:rFonts w:hint="eastAsia"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pPr>
        <w:pStyle w:val="2"/>
        <w:ind w:firstLine="560"/>
        <w:rPr>
          <w:rFonts w:hint="eastAsia" w:ascii="仿宋_GB2312" w:eastAsia="仿宋_GB2312"/>
          <w:sz w:val="28"/>
          <w:szCs w:val="28"/>
        </w:rPr>
      </w:pPr>
      <w:r>
        <w:rPr>
          <w:rFonts w:hint="eastAsia" w:ascii="仿宋_GB2312" w:eastAsia="仿宋_GB2312"/>
          <w:sz w:val="28"/>
          <w:szCs w:val="28"/>
        </w:rPr>
        <w:t>（10）社会保障和就业支出（类）行政事业单位养老支出（款）其它行政事业单位养老支出（项）：反映除上述项目以外用于行政事业单位养老方面的支出。</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numPr>
          <w:ilvl w:val="0"/>
          <w:numId w:val="1"/>
        </w:numPr>
        <w:ind w:firstLine="560" w:firstLineChars="200"/>
        <w:rPr>
          <w:rFonts w:hint="eastAsia" w:ascii="黑体" w:eastAsia="黑体"/>
          <w:sz w:val="28"/>
          <w:szCs w:val="28"/>
        </w:rPr>
      </w:pPr>
      <w:r>
        <w:rPr>
          <w:rFonts w:hint="eastAsia" w:ascii="黑体" w:eastAsia="黑体"/>
          <w:sz w:val="28"/>
          <w:szCs w:val="28"/>
        </w:rPr>
        <w:t>部门整体绩效评价报告</w:t>
      </w:r>
    </w:p>
    <w:p>
      <w:pPr>
        <w:pStyle w:val="2"/>
        <w:numPr>
          <w:ilvl w:val="0"/>
          <w:numId w:val="0"/>
        </w:numPr>
        <w:ind w:firstLine="840" w:firstLineChars="300"/>
        <w:rPr>
          <w:rFonts w:hint="eastAsia" w:ascii="黑体" w:hAnsi="Times New Roman" w:eastAsia="黑体" w:cs="Times New Roman"/>
          <w:kern w:val="2"/>
          <w:sz w:val="28"/>
          <w:szCs w:val="28"/>
          <w:lang w:val="en-US" w:eastAsia="zh-CN" w:bidi="ar-SA"/>
        </w:rPr>
      </w:pPr>
      <w:r>
        <w:rPr>
          <w:rFonts w:hint="eastAsia" w:ascii="黑体" w:hAnsi="Times New Roman" w:eastAsia="黑体" w:cs="Times New Roman"/>
          <w:kern w:val="2"/>
          <w:sz w:val="28"/>
          <w:szCs w:val="28"/>
          <w:lang w:val="en-US" w:eastAsia="zh-CN" w:bidi="ar-SA"/>
        </w:rPr>
        <w:t>无</w:t>
      </w:r>
    </w:p>
    <w:p>
      <w:pPr>
        <w:numPr>
          <w:ilvl w:val="0"/>
          <w:numId w:val="1"/>
        </w:numPr>
        <w:ind w:left="0" w:leftChars="0" w:firstLine="560" w:firstLineChars="200"/>
        <w:rPr>
          <w:rFonts w:hint="eastAsia" w:ascii="黑体" w:eastAsia="黑体"/>
          <w:sz w:val="28"/>
          <w:szCs w:val="28"/>
        </w:rPr>
      </w:pPr>
      <w:r>
        <w:rPr>
          <w:rFonts w:hint="eastAsia" w:ascii="黑体" w:eastAsia="黑体"/>
          <w:sz w:val="28"/>
          <w:szCs w:val="28"/>
        </w:rPr>
        <w:t>项目支出绩效评价报告</w:t>
      </w:r>
    </w:p>
    <w:p>
      <w:pPr>
        <w:pStyle w:val="2"/>
        <w:ind w:firstLine="840" w:firstLineChars="300"/>
        <w:rPr>
          <w:rFonts w:hint="eastAsia" w:ascii="黑体" w:eastAsia="黑体"/>
          <w:sz w:val="28"/>
          <w:szCs w:val="28"/>
          <w:lang w:eastAsia="zh-CN"/>
        </w:rPr>
      </w:pPr>
      <w:r>
        <w:rPr>
          <w:rFonts w:hint="eastAsia" w:ascii="黑体" w:eastAsia="黑体"/>
          <w:sz w:val="28"/>
          <w:szCs w:val="28"/>
          <w:lang w:eastAsia="zh-CN"/>
        </w:rPr>
        <w:t>无</w:t>
      </w:r>
    </w:p>
    <w:p>
      <w:pPr>
        <w:pStyle w:val="2"/>
        <w:rPr>
          <w:rFonts w:hint="eastAsia"/>
        </w:rPr>
      </w:pPr>
    </w:p>
    <w:p>
      <w:pPr>
        <w:numPr>
          <w:ilvl w:val="0"/>
          <w:numId w:val="0"/>
        </w:numPr>
        <w:tabs>
          <w:tab w:val="left" w:pos="544"/>
        </w:tabs>
        <w:ind w:left="420" w:leftChars="200" w:firstLine="0" w:firstLineChars="0"/>
        <w:rPr>
          <w:rFonts w:ascii="黑体" w:eastAsia="黑体"/>
          <w:sz w:val="28"/>
          <w:szCs w:val="28"/>
        </w:rPr>
      </w:pPr>
      <w:r>
        <w:rPr>
          <w:rFonts w:hint="eastAsia" w:ascii="黑体" w:eastAsia="黑体"/>
          <w:sz w:val="28"/>
          <w:szCs w:val="28"/>
          <w:lang w:eastAsia="zh-CN"/>
        </w:rPr>
        <w:tab/>
      </w: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rPr>
          <w:rFonts w:hint="eastAsia"/>
          <w:lang w:eastAsia="zh-CN"/>
        </w:rPr>
      </w:pPr>
      <w:r>
        <w:rPr>
          <w:rFonts w:hint="eastAsia"/>
          <w:lang w:eastAsia="zh-CN"/>
        </w:rPr>
        <w:t>附件</w:t>
      </w:r>
    </w:p>
    <w:p>
      <w:pPr>
        <w:pStyle w:val="2"/>
        <w:rPr>
          <w:rFonts w:hint="eastAsia"/>
          <w:lang w:eastAsia="zh-CN"/>
        </w:rPr>
      </w:pPr>
    </w:p>
    <w:tbl>
      <w:tblPr>
        <w:tblStyle w:val="10"/>
        <w:tblW w:w="145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3"/>
        <w:gridCol w:w="1295"/>
        <w:gridCol w:w="1296"/>
        <w:gridCol w:w="2148"/>
        <w:gridCol w:w="1572"/>
        <w:gridCol w:w="1368"/>
        <w:gridCol w:w="1368"/>
        <w:gridCol w:w="1272"/>
        <w:gridCol w:w="1560"/>
        <w:gridCol w:w="17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508"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508"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11000023T000002109777-先农坛历史文化展维护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53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董绍鹏</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53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18500651367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51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58.710000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58.045000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58.045000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58.710000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58.045000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58.045000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924" w:type="dxa"/>
            <w:vMerge w:val="restar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8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tabs>
                <w:tab w:val="center" w:pos="3791"/>
                <w:tab w:val="right" w:pos="7463"/>
              </w:tabs>
              <w:jc w:val="left"/>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ab/>
            </w:r>
            <w:r>
              <w:rPr>
                <w:rFonts w:hint="eastAsia" w:ascii="宋体" w:hAnsi="宋体" w:eastAsia="宋体" w:cs="宋体"/>
                <w:i w:val="0"/>
                <w:iCs w:val="0"/>
                <w:color w:val="000000"/>
                <w:kern w:val="0"/>
                <w:sz w:val="20"/>
                <w:szCs w:val="20"/>
                <w:u w:val="none"/>
                <w:lang w:val="en-US" w:eastAsia="zh-CN" w:bidi="ar"/>
              </w:rPr>
              <w:t>预期目标</w:t>
            </w:r>
            <w:r>
              <w:rPr>
                <w:rFonts w:hint="eastAsia" w:ascii="宋体" w:hAnsi="宋体" w:cs="宋体"/>
                <w:i w:val="0"/>
                <w:iCs w:val="0"/>
                <w:color w:val="000000"/>
                <w:kern w:val="0"/>
                <w:sz w:val="20"/>
                <w:szCs w:val="20"/>
                <w:u w:val="none"/>
                <w:lang w:val="en-US" w:eastAsia="zh-CN" w:bidi="ar"/>
              </w:rPr>
              <w:tab/>
            </w:r>
          </w:p>
        </w:tc>
        <w:tc>
          <w:tcPr>
            <w:tcW w:w="5904" w:type="dxa"/>
            <w:gridSpan w:val="4"/>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680" w:type="dxa"/>
            <w:gridSpan w:val="5"/>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迎接2023年中轴线申遗专家考察先农坛，保证观众正常参观和博物馆正常开放，避免出现观众对展览品质面貌的投诉，项目维护内容主要包含：展览基础面貌的更新、展厅展板更新、保持原展览风格不变前提下的局部展线调整，局部进行展示方式的调整，以改善文化展示空间，使整体效果得到提升，展线观感更加合理。</w:t>
            </w:r>
          </w:p>
        </w:tc>
        <w:tc>
          <w:tcPr>
            <w:tcW w:w="590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项目维护内容主要包含：展览基础面貌的更新、展厅展板更新、保持原展览风格不变前提下的局部展线调整，局部进行展示方式的调整，以改善文化展示空间，使整体效果得到提升，展线观感更加合理。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924"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2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维护位置为神厨院落三处展厅</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≥3处</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3处</w:t>
            </w:r>
          </w:p>
        </w:tc>
        <w:tc>
          <w:tcPr>
            <w:tcW w:w="127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2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展板、说明牌等基础设施维护</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2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项目完成时间为2023年4月30日前</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≤6月</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4月</w:t>
            </w:r>
          </w:p>
        </w:tc>
        <w:tc>
          <w:tcPr>
            <w:tcW w:w="127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2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项目入场时间为2023年3月初</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27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92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展览维护方案预算控制数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“=58.71万元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58.045万元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因履行招标比选，节约资金0.665万元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0" w:hRule="atLeast"/>
        </w:trPr>
        <w:tc>
          <w:tcPr>
            <w:tcW w:w="92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nil"/>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观众人数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≥60000人</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155599人</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偏差原因分析：年初指标值设置偏低、支撑资料不够充分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改进措施：以后加强项目预算绩效管理工作，合理编制项目绩效目标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9" w:hRule="atLeast"/>
        </w:trPr>
        <w:tc>
          <w:tcPr>
            <w:tcW w:w="92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合作方满意度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997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508"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pPr>
    </w:p>
    <w:p>
      <w:pPr>
        <w:pStyle w:val="3"/>
      </w:pPr>
    </w:p>
    <w:tbl>
      <w:tblPr>
        <w:tblStyle w:val="10"/>
        <w:tblW w:w="149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3"/>
        <w:gridCol w:w="1306"/>
        <w:gridCol w:w="1463"/>
        <w:gridCol w:w="2147"/>
        <w:gridCol w:w="1571"/>
        <w:gridCol w:w="1367"/>
        <w:gridCol w:w="1367"/>
        <w:gridCol w:w="1271"/>
        <w:gridCol w:w="1164"/>
        <w:gridCol w:w="23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952"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52"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69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11000023T000002108132-先农坛内坛祭祀道路展示工程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69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0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69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丛子钧</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80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13439340316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69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69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156.319400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79.423037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79.423037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69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69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156.319400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79.423037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79.423037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69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860"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168"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5"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86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先农坛是国务院公布为重点文物保护单位，先农坛内坛祭祀道路应完成以下目标：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（1）完成从先农坛内坛门至先农神坛地面塑胶垫的铺装。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（2）道路两旁安装宫灯。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（3）宫灯之间安装挡板。                                                  （4）移植祭祀道路上的4棵树。</w:t>
            </w:r>
          </w:p>
        </w:tc>
        <w:tc>
          <w:tcPr>
            <w:tcW w:w="616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通过开展先农坛内坛祭祀道路展示工程，完成了塑胶垫的铺装和移植树木等工程，反映出了祭祀道路的历史风貌。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464"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移植树木</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4棵</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4棵</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6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宫灯数量</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44盏</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0盏</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偏差原因分析：设计更改，相应财政资金已退回财政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改进措施：以后加强项目计划编制的合理性及风险预估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6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塑胶垫长度</w:t>
            </w:r>
          </w:p>
        </w:tc>
        <w:tc>
          <w:tcPr>
            <w:tcW w:w="0" w:type="auto"/>
            <w:gridSpan w:val="2"/>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420米</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364米</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4.34</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偏差原因分析：设计更改，缩短塑胶垫铺陈长度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改进措施：以后加强项目计划编制的合理性及风险预估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≥90分</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64"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完成时间</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w:t>
            </w:r>
          </w:p>
        </w:tc>
        <w:tc>
          <w:tcPr>
            <w:tcW w:w="127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4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项目预算金额</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≤156.31943万元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79.423037万元</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取消宫灯安装及安装挡板工程，相应财政资金已退回财政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4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还原先农坛祭祀历史风貌度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得到还原先农坛祭祀历史风貌度</w:t>
            </w:r>
          </w:p>
        </w:tc>
        <w:tc>
          <w:tcPr>
            <w:tcW w:w="127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9"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文物保护促进度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促进了文物保护</w:t>
            </w:r>
          </w:p>
        </w:tc>
        <w:tc>
          <w:tcPr>
            <w:tcW w:w="127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观众满意度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3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偏差原因分析：未开展满意度调查工作，缺少相应支撑材料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1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88.34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952"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
      <w:pPr>
        <w:pStyle w:val="2"/>
      </w:pPr>
    </w:p>
    <w:tbl>
      <w:tblPr>
        <w:tblStyle w:val="10"/>
        <w:tblW w:w="149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5"/>
        <w:gridCol w:w="8"/>
        <w:gridCol w:w="1265"/>
        <w:gridCol w:w="40"/>
        <w:gridCol w:w="1308"/>
        <w:gridCol w:w="68"/>
        <w:gridCol w:w="2080"/>
        <w:gridCol w:w="51"/>
        <w:gridCol w:w="45"/>
        <w:gridCol w:w="1475"/>
        <w:gridCol w:w="37"/>
        <w:gridCol w:w="60"/>
        <w:gridCol w:w="1271"/>
        <w:gridCol w:w="32"/>
        <w:gridCol w:w="449"/>
        <w:gridCol w:w="1120"/>
        <w:gridCol w:w="198"/>
        <w:gridCol w:w="423"/>
        <w:gridCol w:w="636"/>
        <w:gridCol w:w="212"/>
        <w:gridCol w:w="424"/>
        <w:gridCol w:w="527"/>
        <w:gridCol w:w="213"/>
        <w:gridCol w:w="424"/>
        <w:gridCol w:w="893"/>
        <w:gridCol w:w="361"/>
        <w:gridCol w:w="3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wAfter w:w="390" w:type="dxa"/>
          <w:trHeight w:val="405" w:hRule="atLeast"/>
        </w:trPr>
        <w:tc>
          <w:tcPr>
            <w:tcW w:w="14535" w:type="dxa"/>
            <w:gridSpan w:val="26"/>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315" w:hRule="atLeast"/>
        </w:trPr>
        <w:tc>
          <w:tcPr>
            <w:tcW w:w="14535" w:type="dxa"/>
            <w:gridSpan w:val="26"/>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402" w:hRule="atLeast"/>
        </w:trPr>
        <w:tc>
          <w:tcPr>
            <w:tcW w:w="353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999" w:type="dxa"/>
            <w:gridSpan w:val="21"/>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11000023T000002108101-先农坛庆成宫、地祇坛周边非文物建筑拆除工程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402" w:hRule="atLeast"/>
        </w:trPr>
        <w:tc>
          <w:tcPr>
            <w:tcW w:w="353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7"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1799"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113"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402" w:hRule="atLeast"/>
        </w:trPr>
        <w:tc>
          <w:tcPr>
            <w:tcW w:w="353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7"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郝广华</w:t>
            </w:r>
          </w:p>
        </w:tc>
        <w:tc>
          <w:tcPr>
            <w:tcW w:w="1799"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113"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63045608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522" w:hRule="atLeast"/>
        </w:trPr>
        <w:tc>
          <w:tcPr>
            <w:tcW w:w="3536" w:type="dxa"/>
            <w:gridSpan w:val="5"/>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2148" w:type="dxa"/>
            <w:gridSpan w:val="2"/>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1678"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402" w:hRule="atLeast"/>
        </w:trPr>
        <w:tc>
          <w:tcPr>
            <w:tcW w:w="3536"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982.451523 </w:t>
            </w:r>
          </w:p>
        </w:tc>
        <w:tc>
          <w:tcPr>
            <w:tcW w:w="136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949.288860 </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949.288860 </w:t>
            </w:r>
          </w:p>
        </w:tc>
        <w:tc>
          <w:tcPr>
            <w:tcW w:w="1271"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402" w:hRule="atLeast"/>
        </w:trPr>
        <w:tc>
          <w:tcPr>
            <w:tcW w:w="3536"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1" w:type="dxa"/>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6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1" w:type="dxa"/>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402" w:hRule="atLeast"/>
        </w:trPr>
        <w:tc>
          <w:tcPr>
            <w:tcW w:w="3536"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5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982.451523 </w:t>
            </w:r>
          </w:p>
        </w:tc>
        <w:tc>
          <w:tcPr>
            <w:tcW w:w="136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949.288860 </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949.288860 </w:t>
            </w:r>
          </w:p>
        </w:tc>
        <w:tc>
          <w:tcPr>
            <w:tcW w:w="1271"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402" w:hRule="atLeast"/>
        </w:trPr>
        <w:tc>
          <w:tcPr>
            <w:tcW w:w="3536"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571"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8"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99"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71"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78"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402" w:hRule="atLeast"/>
        </w:trPr>
        <w:tc>
          <w:tcPr>
            <w:tcW w:w="92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00" w:type="dxa"/>
            <w:gridSpan w:val="11"/>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912" w:type="dxa"/>
            <w:gridSpan w:val="13"/>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882"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700"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此次对先农坛区域庆内成宫、地祇坛周边非文物建筑拆除及移植树木，解决文物古建筑周边的安全隐患，恢复庆成宫、地祇坛周边的历史风貌，为后续庆成宫保护性修缮和环境整治以及地祇坛遗址展示工程的启动奠定基础</w:t>
            </w:r>
            <w:r>
              <w:rPr>
                <w:rFonts w:hint="eastAsia" w:ascii="宋体" w:hAnsi="宋体" w:cs="宋体"/>
                <w:i w:val="0"/>
                <w:iCs w:val="0"/>
                <w:color w:val="000000"/>
                <w:kern w:val="0"/>
                <w:sz w:val="20"/>
                <w:szCs w:val="20"/>
                <w:u w:val="none"/>
                <w:lang w:val="en-US" w:eastAsia="zh-CN" w:bidi="ar"/>
              </w:rPr>
              <w:t>。</w:t>
            </w:r>
          </w:p>
        </w:tc>
        <w:tc>
          <w:tcPr>
            <w:tcW w:w="5912"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在确保文物本体安全及古树保护的情况下，全部完成该项目的非文物建筑拆除任务和树木移植，为后续修缮打下坚实基础。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678" w:hRule="atLeast"/>
        </w:trPr>
        <w:tc>
          <w:tcPr>
            <w:tcW w:w="92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06" w:type="dxa"/>
            <w:gridSpan w:val="2"/>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307"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3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408" w:hRule="atLeast"/>
        </w:trPr>
        <w:tc>
          <w:tcPr>
            <w:tcW w:w="923" w:type="dxa"/>
            <w:gridSpan w:val="2"/>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8" w:type="dxa"/>
            <w:gridSpan w:val="2"/>
            <w:tcBorders>
              <w:top w:val="single" w:color="000000" w:sz="4" w:space="0"/>
              <w:left w:val="single" w:color="auto"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拆除房屋建筑面积</w:t>
            </w:r>
          </w:p>
        </w:tc>
        <w:tc>
          <w:tcPr>
            <w:tcW w:w="293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≥9500平方米</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9828.8平方米</w:t>
            </w:r>
          </w:p>
        </w:tc>
        <w:tc>
          <w:tcPr>
            <w:tcW w:w="12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2680" w:hRule="atLeast"/>
        </w:trPr>
        <w:tc>
          <w:tcPr>
            <w:tcW w:w="923" w:type="dxa"/>
            <w:gridSpan w:val="2"/>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7" w:type="dxa"/>
            <w:vMerge w:val="continue"/>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gridSpan w:val="2"/>
            <w:tcBorders>
              <w:top w:val="single" w:color="000000" w:sz="4" w:space="0"/>
              <w:left w:val="single" w:color="auto"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拆除地下管线长度</w:t>
            </w:r>
          </w:p>
        </w:tc>
        <w:tc>
          <w:tcPr>
            <w:tcW w:w="293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≥1900米</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1106.26米</w:t>
            </w:r>
          </w:p>
        </w:tc>
        <w:tc>
          <w:tcPr>
            <w:tcW w:w="12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偏差原因分析：当初测量是在原始图纸缺失情况下的数据，与实际严重不符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改进措施：以后加强项目预算绩效管理工作，合理编制项目绩效目标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380" w:hRule="atLeast"/>
        </w:trPr>
        <w:tc>
          <w:tcPr>
            <w:tcW w:w="923" w:type="dxa"/>
            <w:gridSpan w:val="2"/>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7" w:type="dxa"/>
            <w:vMerge w:val="continue"/>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gridSpan w:val="2"/>
            <w:tcBorders>
              <w:top w:val="single" w:color="000000" w:sz="4" w:space="0"/>
              <w:left w:val="single" w:color="auto"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移植、砍伐树木</w:t>
            </w:r>
          </w:p>
        </w:tc>
        <w:tc>
          <w:tcPr>
            <w:tcW w:w="2939" w:type="dxa"/>
            <w:gridSpan w:val="6"/>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≥190棵</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261棵</w:t>
            </w:r>
          </w:p>
        </w:tc>
        <w:tc>
          <w:tcPr>
            <w:tcW w:w="12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540" w:hRule="atLeast"/>
        </w:trPr>
        <w:tc>
          <w:tcPr>
            <w:tcW w:w="923" w:type="dxa"/>
            <w:gridSpan w:val="2"/>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auto" w:sz="4" w:space="0"/>
              <w:left w:val="single" w:color="auto"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7"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工程完成质量</w:t>
            </w:r>
          </w:p>
        </w:tc>
        <w:tc>
          <w:tcPr>
            <w:tcW w:w="293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≥90分</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2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600" w:hRule="atLeast"/>
        </w:trPr>
        <w:tc>
          <w:tcPr>
            <w:tcW w:w="923" w:type="dxa"/>
            <w:gridSpan w:val="2"/>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auto"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7"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完成时间</w:t>
            </w:r>
          </w:p>
        </w:tc>
        <w:tc>
          <w:tcPr>
            <w:tcW w:w="293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2023年8月1日</w:t>
            </w:r>
          </w:p>
        </w:tc>
        <w:tc>
          <w:tcPr>
            <w:tcW w:w="1271" w:type="dxa"/>
            <w:gridSpan w:val="3"/>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70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w:t>
            </w:r>
          </w:p>
        </w:tc>
        <w:tc>
          <w:tcPr>
            <w:tcW w:w="293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≤982.451523万元</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949.28886万元</w:t>
            </w:r>
          </w:p>
        </w:tc>
        <w:tc>
          <w:tcPr>
            <w:tcW w:w="12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196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restart"/>
            <w:tcBorders>
              <w:top w:val="nil"/>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文物保护促进度</w:t>
            </w:r>
          </w:p>
        </w:tc>
        <w:tc>
          <w:tcPr>
            <w:tcW w:w="293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促进了文物保护</w:t>
            </w:r>
          </w:p>
        </w:tc>
        <w:tc>
          <w:tcPr>
            <w:tcW w:w="12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12.50</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200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申遗促进度</w:t>
            </w:r>
          </w:p>
        </w:tc>
        <w:tc>
          <w:tcPr>
            <w:tcW w:w="293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促进了申遗进度</w:t>
            </w:r>
          </w:p>
        </w:tc>
        <w:tc>
          <w:tcPr>
            <w:tcW w:w="12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12.50</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196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8"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建设方及观众满意度</w:t>
            </w:r>
          </w:p>
        </w:tc>
        <w:tc>
          <w:tcPr>
            <w:tcW w:w="293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79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67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504" w:hRule="atLeast"/>
        </w:trPr>
        <w:tc>
          <w:tcPr>
            <w:tcW w:w="10422" w:type="dxa"/>
            <w:gridSpan w:val="1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71"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91.00</w:t>
            </w:r>
          </w:p>
        </w:tc>
        <w:tc>
          <w:tcPr>
            <w:tcW w:w="1678" w:type="dxa"/>
            <w:gridSpan w:val="3"/>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2400" w:hRule="atLeast"/>
        </w:trPr>
        <w:tc>
          <w:tcPr>
            <w:tcW w:w="14535" w:type="dxa"/>
            <w:gridSpan w:val="26"/>
            <w:tcBorders>
              <w:top w:val="nil"/>
              <w:left w:val="nil"/>
              <w:bottom w:val="nil"/>
              <w:right w:val="nil"/>
            </w:tcBorders>
            <w:noWrap w:val="0"/>
            <w:vAlign w:val="center"/>
          </w:tcPr>
          <w:p>
            <w:pPr>
              <w:keepNext w:val="0"/>
              <w:keepLines w:val="0"/>
              <w:widowControl/>
              <w:suppressLineNumbers w:val="0"/>
              <w:jc w:val="left"/>
              <w:textAlignment w:val="center"/>
              <w:rPr>
                <w:rFonts w:hint="eastAsia"/>
                <w:lang w:val="en-US" w:eastAsia="zh-CN"/>
              </w:rPr>
            </w:pPr>
            <w:r>
              <w:rPr>
                <w:rFonts w:hint="eastAsia"/>
                <w:lang w:val="en-US" w:eastAsia="zh-CN"/>
              </w:rPr>
              <w:t>填报注意事项：</w:t>
            </w:r>
            <w:r>
              <w:rPr>
                <w:rFonts w:hint="eastAsia"/>
                <w:lang w:val="en-US" w:eastAsia="zh-CN"/>
              </w:rPr>
              <w:br w:type="textWrapping"/>
            </w:r>
            <w:r>
              <w:rPr>
                <w:rFonts w:hint="eastAsia"/>
                <w:lang w:val="en-US" w:eastAsia="zh-CN"/>
              </w:rPr>
              <w:t>1.得分一档最高不能超过该指标分值上限。</w:t>
            </w:r>
            <w:r>
              <w:rPr>
                <w:rFonts w:hint="eastAsia"/>
                <w:lang w:val="en-US" w:eastAsia="zh-CN"/>
              </w:rPr>
              <w:br w:type="textWrapping"/>
            </w:r>
            <w:r>
              <w:rPr>
                <w:rFonts w:hint="eastAsia"/>
                <w:lang w:val="en-US" w:eastAsia="zh-CN"/>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lang w:val="en-US" w:eastAsia="zh-CN"/>
              </w:rPr>
              <w:br w:type="textWrapping"/>
            </w:r>
            <w:r>
              <w:rPr>
                <w:rFonts w:hint="eastAsia"/>
                <w:lang w:val="en-US" w:eastAsia="zh-CN"/>
              </w:rPr>
              <w:t>3.请在“偏差原因分析及改进措施”中说明偏离目标、不能完成目标的原因及拟采取的措施。</w:t>
            </w:r>
            <w:r>
              <w:rPr>
                <w:rFonts w:hint="eastAsia"/>
                <w:lang w:val="en-US" w:eastAsia="zh-CN"/>
              </w:rPr>
              <w:br w:type="textWrapping"/>
            </w:r>
            <w:r>
              <w:rPr>
                <w:rFonts w:hint="eastAsia"/>
                <w:lang w:val="en-US" w:eastAsia="zh-CN"/>
              </w:rPr>
              <w:t>4.90（含）-100分为优、80（含）-90分为良、60（含）-80分为中、60分以下为差。</w:t>
            </w:r>
          </w:p>
          <w:p>
            <w:pPr>
              <w:pStyle w:val="2"/>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522" w:hRule="atLeast"/>
        </w:trPr>
        <w:tc>
          <w:tcPr>
            <w:tcW w:w="3536" w:type="dxa"/>
            <w:gridSpan w:val="5"/>
            <w:vMerge w:val="restart"/>
            <w:tcBorders>
              <w:top w:val="nil"/>
              <w:left w:val="nil"/>
              <w:bottom w:val="nil"/>
              <w:right w:val="nil"/>
            </w:tcBorders>
            <w:noWrap w:val="0"/>
            <w:vAlign w:val="center"/>
          </w:tcPr>
          <w:p>
            <w:pPr>
              <w:jc w:val="center"/>
              <w:rPr>
                <w:rFonts w:hint="eastAsia" w:ascii="宋体" w:hAnsi="宋体" w:eastAsia="宋体" w:cs="宋体"/>
                <w:i w:val="0"/>
                <w:iCs w:val="0"/>
                <w:color w:val="000000"/>
                <w:sz w:val="28"/>
                <w:szCs w:val="28"/>
                <w:u w:val="none"/>
              </w:rPr>
            </w:pPr>
          </w:p>
        </w:tc>
        <w:tc>
          <w:tcPr>
            <w:tcW w:w="2148" w:type="dxa"/>
            <w:gridSpan w:val="2"/>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571" w:type="dxa"/>
            <w:gridSpan w:val="3"/>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368" w:type="dxa"/>
            <w:gridSpan w:val="3"/>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799" w:type="dxa"/>
            <w:gridSpan w:val="4"/>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271" w:type="dxa"/>
            <w:gridSpan w:val="3"/>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164" w:type="dxa"/>
            <w:gridSpan w:val="3"/>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678" w:type="dxa"/>
            <w:gridSpan w:val="3"/>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0" w:type="dxa"/>
          <w:trHeight w:val="522" w:hRule="atLeast"/>
        </w:trPr>
        <w:tc>
          <w:tcPr>
            <w:tcW w:w="3536" w:type="dxa"/>
            <w:gridSpan w:val="5"/>
            <w:vMerge w:val="continue"/>
            <w:tcBorders>
              <w:top w:val="nil"/>
              <w:left w:val="nil"/>
              <w:bottom w:val="nil"/>
              <w:right w:val="nil"/>
            </w:tcBorders>
            <w:noWrap w:val="0"/>
            <w:vAlign w:val="center"/>
          </w:tcPr>
          <w:p>
            <w:pPr>
              <w:jc w:val="center"/>
              <w:rPr>
                <w:rFonts w:hint="eastAsia" w:ascii="宋体" w:hAnsi="宋体" w:eastAsia="宋体" w:cs="宋体"/>
                <w:i w:val="0"/>
                <w:iCs w:val="0"/>
                <w:color w:val="000000"/>
                <w:sz w:val="28"/>
                <w:szCs w:val="28"/>
                <w:u w:val="none"/>
              </w:rPr>
            </w:pPr>
          </w:p>
        </w:tc>
        <w:tc>
          <w:tcPr>
            <w:tcW w:w="2148" w:type="dxa"/>
            <w:gridSpan w:val="2"/>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571" w:type="dxa"/>
            <w:gridSpan w:val="3"/>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368" w:type="dxa"/>
            <w:gridSpan w:val="3"/>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799" w:type="dxa"/>
            <w:gridSpan w:val="4"/>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271" w:type="dxa"/>
            <w:gridSpan w:val="3"/>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164" w:type="dxa"/>
            <w:gridSpan w:val="3"/>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c>
          <w:tcPr>
            <w:tcW w:w="1678" w:type="dxa"/>
            <w:gridSpan w:val="3"/>
            <w:tcBorders>
              <w:top w:val="nil"/>
              <w:left w:val="nil"/>
              <w:bottom w:val="nil"/>
              <w:right w:val="nil"/>
            </w:tcBorders>
            <w:noWrap w:val="0"/>
            <w:vAlign w:val="center"/>
          </w:tcPr>
          <w:p>
            <w:pPr>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25" w:type="dxa"/>
            <w:gridSpan w:val="27"/>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8"/>
                <w:szCs w:val="28"/>
                <w:u w:val="none"/>
                <w:lang w:val="en-US" w:eastAsia="zh-CN" w:bidi="ar"/>
              </w:rPr>
              <w:t>项目支出绩效自评表</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3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388" w:type="dxa"/>
            <w:gridSpan w:val="2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11000023T000002108066-先农坛内坛古建筑群维护保养工程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3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568"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1740"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080"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3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568"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丛子钧 </w:t>
            </w:r>
          </w:p>
        </w:tc>
        <w:tc>
          <w:tcPr>
            <w:tcW w:w="1740"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080"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13439340316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537" w:type="dxa"/>
            <w:gridSpan w:val="5"/>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2244" w:type="dxa"/>
            <w:gridSpan w:val="4"/>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5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164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37"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44"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962.184600 </w:t>
            </w:r>
          </w:p>
        </w:tc>
        <w:tc>
          <w:tcPr>
            <w:tcW w:w="175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943.824479 </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943.824479 </w:t>
            </w:r>
          </w:p>
        </w:tc>
        <w:tc>
          <w:tcPr>
            <w:tcW w:w="1272"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37"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2" w:type="dxa"/>
            <w:gridSpan w:val="3"/>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0"/>
                <w:szCs w:val="20"/>
                <w:u w:val="none"/>
              </w:rPr>
            </w:pPr>
          </w:p>
        </w:tc>
        <w:tc>
          <w:tcPr>
            <w:tcW w:w="1752"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2" w:type="dxa"/>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37"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5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962.184600 </w:t>
            </w:r>
          </w:p>
        </w:tc>
        <w:tc>
          <w:tcPr>
            <w:tcW w:w="175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943.824479 </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943.824479 </w:t>
            </w:r>
          </w:p>
        </w:tc>
        <w:tc>
          <w:tcPr>
            <w:tcW w:w="1272"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37"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44"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572"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52"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40"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72"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4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2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182" w:type="dxa"/>
            <w:gridSpan w:val="13"/>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820" w:type="dxa"/>
            <w:gridSpan w:val="12"/>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182"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主要对先农坛太岁殿院、宰牲亭院、具服殿、焚帛炉、先农神坛、观耕台、内坛坛墙、内坛门等主要建筑的屋面、墙体、地面、下架油饰进行保养，对太岁殿西侧院进行环境整治，通过此次维护保养消除了屋面、墙面、地面的残损和安全隐患，更好地展示先农坛文化遗产的完整性，更好地宣传先农坛的历史和文化传承，为申遗助力。</w:t>
            </w:r>
          </w:p>
        </w:tc>
        <w:tc>
          <w:tcPr>
            <w:tcW w:w="582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主要对先农坛太岁殿院、宰牲亭院、具服殿、焚帛炉、先农神坛、观耕台、内坛坛墙、内坛门等主要建筑的屋面、墙体、地面、下架油饰进行保养，对太岁殿西侧院进行环境整治，通过此次维护保养消除了屋面、墙面、地面的残损和安全隐患，更好地展示先农坛文化遗产的完整性，更好地宣传先农坛的历史和文化传承，为申遗助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92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30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244"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油饰面积</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6000平米</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6000平米</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44"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地面修补面积</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2500平米</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2500平米</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44"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墙面修补面积</w:t>
            </w:r>
          </w:p>
        </w:tc>
        <w:tc>
          <w:tcPr>
            <w:tcW w:w="3324" w:type="dxa"/>
            <w:gridSpan w:val="6"/>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3900平米</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3900平米</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油饰验收合格率</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地面、墙面验收合格率</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瓦面验收合格率</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6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完成时间</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w:t>
            </w:r>
          </w:p>
        </w:tc>
        <w:tc>
          <w:tcPr>
            <w:tcW w:w="1272" w:type="dxa"/>
            <w:gridSpan w:val="3"/>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64" w:type="dxa"/>
            <w:gridSpan w:val="3"/>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项目预算总金额</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≤962.1846万元</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943.824479万元</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参观环境带来改善，观众人数增加</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定性</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门票收入有所增加</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维护保养完成后，先农坛内坛核心区主要建筑群将继续对外开放，成为以收藏、研究和展示反映中国古代建筑历史、建筑艺术、建筑技术的专题性博物馆，进一步提高博物馆的知名度和影响力。</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定性</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博物馆知名度得到提高</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进一步推进了先农坛历史风貌恢复</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定性</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推进了先农坛历史风貌恢复</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更好的传播中国传统文化，科普博物馆知识，提高人民群众的文化素养</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定性</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更好的传播中国传统文化</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trPr>
        <w:tc>
          <w:tcPr>
            <w:tcW w:w="9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2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博物馆工作人员、参观观众满意度</w:t>
            </w:r>
          </w:p>
        </w:tc>
        <w:tc>
          <w:tcPr>
            <w:tcW w:w="332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7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64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0845" w:type="dxa"/>
            <w:gridSpan w:val="1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72"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16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92.00</w:t>
            </w:r>
          </w:p>
        </w:tc>
        <w:tc>
          <w:tcPr>
            <w:tcW w:w="1644" w:type="dxa"/>
            <w:gridSpan w:val="3"/>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925" w:type="dxa"/>
            <w:gridSpan w:val="27"/>
            <w:tcBorders>
              <w:top w:val="nil"/>
              <w:left w:val="nil"/>
              <w:bottom w:val="nil"/>
              <w:right w:val="nil"/>
            </w:tcBorders>
            <w:noWrap w:val="0"/>
            <w:vAlign w:val="center"/>
          </w:tcPr>
          <w:p>
            <w:pPr>
              <w:keepNext w:val="0"/>
              <w:keepLines w:val="0"/>
              <w:widowControl/>
              <w:suppressLineNumbers w:val="0"/>
              <w:jc w:val="left"/>
              <w:textAlignment w:val="center"/>
              <w:rPr>
                <w:rFonts w:hint="eastAsia"/>
                <w:lang w:val="en-US" w:eastAsia="zh-CN"/>
              </w:rPr>
            </w:pPr>
            <w:r>
              <w:rPr>
                <w:rFonts w:hint="eastAsia"/>
                <w:lang w:val="en-US" w:eastAsia="zh-CN"/>
              </w:rPr>
              <w:t>填报注意事项：</w:t>
            </w:r>
            <w:r>
              <w:rPr>
                <w:rFonts w:hint="eastAsia"/>
                <w:lang w:val="en-US" w:eastAsia="zh-CN"/>
              </w:rPr>
              <w:br w:type="textWrapping"/>
            </w:r>
            <w:r>
              <w:rPr>
                <w:rFonts w:hint="eastAsia"/>
                <w:lang w:val="en-US" w:eastAsia="zh-CN"/>
              </w:rPr>
              <w:t>1.得分一档最高不能超过该指标分值上限。</w:t>
            </w:r>
            <w:r>
              <w:rPr>
                <w:rFonts w:hint="eastAsia"/>
                <w:lang w:val="en-US" w:eastAsia="zh-CN"/>
              </w:rPr>
              <w:br w:type="textWrapping"/>
            </w:r>
            <w:r>
              <w:rPr>
                <w:rFonts w:hint="eastAsia"/>
                <w:lang w:val="en-US" w:eastAsia="zh-CN"/>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lang w:val="en-US" w:eastAsia="zh-CN"/>
              </w:rPr>
              <w:br w:type="textWrapping"/>
            </w:r>
            <w:r>
              <w:rPr>
                <w:rFonts w:hint="eastAsia"/>
                <w:lang w:val="en-US" w:eastAsia="zh-CN"/>
              </w:rPr>
              <w:t>3.请在“偏差原因分析及改进措施”中说明偏离目标、不能完成目标的原因及拟采取的措施。</w:t>
            </w:r>
            <w:r>
              <w:rPr>
                <w:rFonts w:hint="eastAsia"/>
                <w:lang w:val="en-US" w:eastAsia="zh-CN"/>
              </w:rPr>
              <w:br w:type="textWrapping"/>
            </w:r>
            <w:r>
              <w:rPr>
                <w:rFonts w:hint="eastAsia"/>
                <w:lang w:val="en-US" w:eastAsia="zh-CN"/>
              </w:rPr>
              <w:t>4.90（含）-100分为优、80（含）-90分为良、60（含）-80分为中、60分以下为差。</w:t>
            </w:r>
          </w:p>
          <w:p>
            <w:pPr>
              <w:pStyle w:val="2"/>
              <w:rPr>
                <w:rFonts w:hint="eastAsia" w:ascii="宋体" w:hAnsi="宋体" w:eastAsia="宋体" w:cs="宋体"/>
                <w:i w:val="0"/>
                <w:iCs w:val="0"/>
                <w:color w:val="000000"/>
                <w:kern w:val="0"/>
                <w:sz w:val="20"/>
                <w:szCs w:val="20"/>
                <w:u w:val="none"/>
                <w:lang w:val="en-US" w:eastAsia="zh-CN" w:bidi="ar"/>
              </w:rPr>
            </w:pPr>
          </w:p>
          <w:p>
            <w:pPr>
              <w:pStyle w:val="2"/>
              <w:rPr>
                <w:rFonts w:hint="eastAsia" w:ascii="宋体" w:hAnsi="宋体" w:eastAsia="宋体" w:cs="宋体"/>
                <w:i w:val="0"/>
                <w:iCs w:val="0"/>
                <w:color w:val="000000"/>
                <w:kern w:val="0"/>
                <w:sz w:val="20"/>
                <w:szCs w:val="20"/>
                <w:u w:val="none"/>
                <w:lang w:val="en-US" w:eastAsia="zh-CN" w:bidi="ar"/>
              </w:rPr>
            </w:pPr>
          </w:p>
          <w:p>
            <w:pPr>
              <w:pStyle w:val="2"/>
              <w:rPr>
                <w:rFonts w:hint="eastAsia" w:ascii="宋体" w:hAnsi="宋体" w:eastAsia="宋体" w:cs="宋体"/>
                <w:i w:val="0"/>
                <w:iCs w:val="0"/>
                <w:color w:val="000000"/>
                <w:kern w:val="0"/>
                <w:sz w:val="20"/>
                <w:szCs w:val="20"/>
                <w:u w:val="none"/>
                <w:lang w:val="en-US" w:eastAsia="zh-CN" w:bidi="ar"/>
              </w:rPr>
            </w:pPr>
          </w:p>
          <w:p>
            <w:pPr>
              <w:pStyle w:val="2"/>
              <w:rPr>
                <w:rFonts w:hint="eastAsia" w:ascii="宋体" w:hAnsi="宋体" w:eastAsia="宋体" w:cs="宋体"/>
                <w:i w:val="0"/>
                <w:iCs w:val="0"/>
                <w:color w:val="000000"/>
                <w:kern w:val="0"/>
                <w:sz w:val="20"/>
                <w:szCs w:val="20"/>
                <w:u w:val="none"/>
                <w:lang w:val="en-US" w:eastAsia="zh-CN" w:bidi="ar"/>
              </w:rPr>
            </w:pPr>
          </w:p>
          <w:p>
            <w:pPr>
              <w:pStyle w:val="2"/>
              <w:rPr>
                <w:rFonts w:hint="eastAsia" w:ascii="宋体" w:hAnsi="宋体" w:eastAsia="宋体" w:cs="宋体"/>
                <w:i w:val="0"/>
                <w:iCs w:val="0"/>
                <w:color w:val="000000"/>
                <w:kern w:val="0"/>
                <w:sz w:val="20"/>
                <w:szCs w:val="20"/>
                <w:u w:val="none"/>
                <w:lang w:val="en-US" w:eastAsia="zh-CN" w:bidi="ar"/>
              </w:rPr>
            </w:pPr>
          </w:p>
          <w:p>
            <w:pPr>
              <w:pStyle w:val="2"/>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405" w:hRule="atLeast"/>
        </w:trPr>
        <w:tc>
          <w:tcPr>
            <w:tcW w:w="14175" w:type="dxa"/>
            <w:gridSpan w:val="25"/>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315" w:hRule="atLeast"/>
        </w:trPr>
        <w:tc>
          <w:tcPr>
            <w:tcW w:w="14175" w:type="dxa"/>
            <w:gridSpan w:val="25"/>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400" w:hRule="atLeast"/>
        </w:trPr>
        <w:tc>
          <w:tcPr>
            <w:tcW w:w="36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570" w:type="dxa"/>
            <w:gridSpan w:val="19"/>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11000023T000002068184-先农坛一亩三分地农耕体验季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400" w:hRule="atLeast"/>
        </w:trPr>
        <w:tc>
          <w:tcPr>
            <w:tcW w:w="36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51"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950"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400" w:hRule="atLeast"/>
        </w:trPr>
        <w:tc>
          <w:tcPr>
            <w:tcW w:w="360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51"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郭爽</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3950"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13466528567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520" w:hRule="atLeast"/>
        </w:trPr>
        <w:tc>
          <w:tcPr>
            <w:tcW w:w="360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2131" w:type="dxa"/>
            <w:gridSpan w:val="2"/>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5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1530"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400" w:hRule="atLeast"/>
        </w:trPr>
        <w:tc>
          <w:tcPr>
            <w:tcW w:w="360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75.367000 </w:t>
            </w:r>
          </w:p>
        </w:tc>
        <w:tc>
          <w:tcPr>
            <w:tcW w:w="13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75.367000 </w:t>
            </w:r>
          </w:p>
        </w:tc>
        <w:tc>
          <w:tcPr>
            <w:tcW w:w="15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75.367000 </w:t>
            </w:r>
          </w:p>
        </w:tc>
        <w:tc>
          <w:tcPr>
            <w:tcW w:w="125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400" w:hRule="atLeast"/>
        </w:trPr>
        <w:tc>
          <w:tcPr>
            <w:tcW w:w="360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75.367000 </w:t>
            </w:r>
          </w:p>
        </w:tc>
        <w:tc>
          <w:tcPr>
            <w:tcW w:w="13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75.367000 </w:t>
            </w:r>
          </w:p>
        </w:tc>
        <w:tc>
          <w:tcPr>
            <w:tcW w:w="15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75.367000 </w:t>
            </w:r>
          </w:p>
        </w:tc>
        <w:tc>
          <w:tcPr>
            <w:tcW w:w="125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400" w:hRule="atLeast"/>
        </w:trPr>
        <w:tc>
          <w:tcPr>
            <w:tcW w:w="360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55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30"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400" w:hRule="atLeast"/>
        </w:trPr>
        <w:tc>
          <w:tcPr>
            <w:tcW w:w="360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55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30"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400" w:hRule="atLeast"/>
        </w:trPr>
        <w:tc>
          <w:tcPr>
            <w:tcW w:w="91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41" w:type="dxa"/>
            <w:gridSpan w:val="13"/>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519" w:type="dxa"/>
            <w:gridSpan w:val="11"/>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192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741"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先农坛作为中轴线申遗项目中的一个重要遗产点具有广泛受众。耤田是先农坛系列文化主题中的一个亮点，也是北京先农坛农耕文化的核心体现区，是中国古代天子亲耕农田“以为天下先”的耤田礼活动区。该处遗址的研究与利用具有重要意义。北京先农坛农耕体验季活动从2019年春天第一次举办至今，已连续举办了四年。每年以春播秋收为主题举办大型文化活动，2023年将通过全年活动的启动以及春播秋收盛典及各类体验活动进一步提升先农坛的社会认知度及影响力。</w:t>
            </w:r>
          </w:p>
        </w:tc>
        <w:tc>
          <w:tcPr>
            <w:tcW w:w="5519"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2023年通过启动以春播秋收盛典及各类体验活动，进一步提升先农坛的社会认知度及影响力。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679" w:hRule="atLeast"/>
        </w:trPr>
        <w:tc>
          <w:tcPr>
            <w:tcW w:w="91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41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5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210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416" w:type="dxa"/>
            <w:gridSpan w:val="3"/>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参与活动人数</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≥300人</w:t>
            </w:r>
          </w:p>
        </w:tc>
        <w:tc>
          <w:tcPr>
            <w:tcW w:w="15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2994人</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5.60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偏差原因分析：年初指标值设置偏低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改进措施：以后加强项目预算绩效管理工作，合理编制项目绩效目标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56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gridSpan w:val="3"/>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组织主题活动次数</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54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gridSpan w:val="3"/>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活动举办成功率</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54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gridSpan w:val="3"/>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活动启动时间</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54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gridSpan w:val="3"/>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活动结束时间</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≤11月</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10月</w:t>
            </w:r>
          </w:p>
        </w:tc>
        <w:tc>
          <w:tcPr>
            <w:tcW w:w="125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50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416" w:type="dxa"/>
            <w:gridSpan w:val="3"/>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≤75.367万元</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75.367万元</w:t>
            </w:r>
          </w:p>
        </w:tc>
        <w:tc>
          <w:tcPr>
            <w:tcW w:w="125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50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gridSpan w:val="3"/>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活动费</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≤749670元</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749670元</w:t>
            </w:r>
          </w:p>
        </w:tc>
        <w:tc>
          <w:tcPr>
            <w:tcW w:w="125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50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gridSpan w:val="3"/>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专家劳务</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≤4000元</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4000元</w:t>
            </w:r>
          </w:p>
        </w:tc>
        <w:tc>
          <w:tcPr>
            <w:tcW w:w="125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180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416" w:type="dxa"/>
            <w:gridSpan w:val="3"/>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对活动的认知度</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15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观众会定期打电话询问活动事宜</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偏差原因分析：观众对活动的认知度有待提高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改进措施：今后将继续加大对活动的宣传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192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gridSpan w:val="3"/>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博物馆的影响力</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15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观众对先农坛定期举办活动有一定的认知度</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偏差原因分析：博物馆的影响力还没有做到最高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改进措施：今后将继续提高博物馆的认知度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64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416" w:type="dxa"/>
            <w:gridSpan w:val="3"/>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观众投诉率</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6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2460" w:hRule="atLeast"/>
        </w:trPr>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观众满意度</w:t>
            </w:r>
          </w:p>
        </w:tc>
        <w:tc>
          <w:tcPr>
            <w:tcW w:w="2920"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5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媒体随机采访中观众都很满意</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5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偏差原因分析：随机采访的观众量不够大，相应支撑材料不够充分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400" w:hRule="atLeast"/>
        </w:trPr>
        <w:tc>
          <w:tcPr>
            <w:tcW w:w="10225" w:type="dxa"/>
            <w:gridSpan w:val="1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57"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163"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91.60 </w:t>
            </w:r>
          </w:p>
        </w:tc>
        <w:tc>
          <w:tcPr>
            <w:tcW w:w="1530" w:type="dxa"/>
            <w:gridSpan w:val="3"/>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750" w:type="dxa"/>
          <w:trHeight w:val="2400" w:hRule="atLeast"/>
        </w:trPr>
        <w:tc>
          <w:tcPr>
            <w:tcW w:w="14175" w:type="dxa"/>
            <w:gridSpan w:val="25"/>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pPr>
    </w:p>
    <w:p>
      <w:pPr>
        <w:pStyle w:val="2"/>
      </w:pPr>
    </w:p>
    <w:tbl>
      <w:tblPr>
        <w:tblStyle w:val="10"/>
        <w:tblW w:w="139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6"/>
        <w:gridCol w:w="1275"/>
        <w:gridCol w:w="1416"/>
        <w:gridCol w:w="2132"/>
        <w:gridCol w:w="1555"/>
        <w:gridCol w:w="1361"/>
        <w:gridCol w:w="1365"/>
        <w:gridCol w:w="1258"/>
        <w:gridCol w:w="1163"/>
        <w:gridCol w:w="15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397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397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11000023T000002073244-先农坛农耕体验基地可行性研究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98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郭爽</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398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13466528567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528"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4.355000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4.355000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4.355000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4.355000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4.355000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4.355000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84"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356"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684"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先农坛是位于中轴线南段西侧的一处重要文化遗产。先农坛内保存着较为完整的古建筑群，目前对公众开放的区域为太岁殿院落、神厨院落、具服殿及观耕台、一亩三分地景观展示等。在中轴线申遗的进程中会逐步放开先农坛更多区域，这些区域内的先农坛本体建筑具有重要的历史文化及研究价值，这些文物建筑将作为未来先农坛对外展示的载体呈现在观众面前。此前我馆对先农坛坛域内的建筑也做了整体保护，基于整体保护的基础，目前在先农坛文物空间内的展示主题也正在由中国古代建筑向农耕文化及先农坛历史文化转型。未来北京先农坛在文物空间整体保护的基础之上大力打造中轴线上的农耕体验基地，该项目将作为前期可行性进行研究和探索。</w:t>
            </w:r>
          </w:p>
        </w:tc>
        <w:tc>
          <w:tcPr>
            <w:tcW w:w="535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通过开展先农坛农耕体验基地可行性研究，完成了课题内容，并提交结题报告，在未来北京先农坛在文物空间整体保护的基础之上大力打造中轴线上的农耕体验基地，该项目将作为前期可行性进行研究和探索。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9"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课题数量</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课题评审合格率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课题按时结题率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课题结题时间</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299"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劳务费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≤0.72万元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0.72万元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资料费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≤2.66万元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2.66万元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复印费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≤0.975万元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0.975万元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研究成果采纳率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偏差原因：暂时还没有公开发表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改进措施：加快推进发表进度，待发表后评估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研究成果影响范围</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80人</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偏差原因：暂时还没有公开发表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改进措施：加快推进发表进度，待发表后评估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课题成果使用主体满意度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暂未开展满意度调查</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1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偏差原因：暂未开展满意度调查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984"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3970"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lang w:val="en-US" w:eastAsia="zh-CN"/>
              </w:rPr>
            </w:pPr>
            <w:r>
              <w:rPr>
                <w:rFonts w:hint="eastAsia"/>
                <w:lang w:val="en-US" w:eastAsia="zh-CN"/>
              </w:rPr>
              <w:t>填报注意事项：</w:t>
            </w:r>
            <w:r>
              <w:rPr>
                <w:rFonts w:hint="eastAsia"/>
                <w:lang w:val="en-US" w:eastAsia="zh-CN"/>
              </w:rPr>
              <w:br w:type="textWrapping"/>
            </w:r>
            <w:r>
              <w:rPr>
                <w:rFonts w:hint="eastAsia"/>
                <w:lang w:val="en-US" w:eastAsia="zh-CN"/>
              </w:rPr>
              <w:t>1.得分一档最高不能超过该指标分值上限。</w:t>
            </w:r>
            <w:r>
              <w:rPr>
                <w:rFonts w:hint="eastAsia"/>
                <w:lang w:val="en-US" w:eastAsia="zh-CN"/>
              </w:rPr>
              <w:br w:type="textWrapping"/>
            </w:r>
            <w:r>
              <w:rPr>
                <w:rFonts w:hint="eastAsia"/>
                <w:lang w:val="en-US" w:eastAsia="zh-CN"/>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lang w:val="en-US" w:eastAsia="zh-CN"/>
              </w:rPr>
              <w:br w:type="textWrapping"/>
            </w:r>
            <w:r>
              <w:rPr>
                <w:rFonts w:hint="eastAsia"/>
                <w:lang w:val="en-US" w:eastAsia="zh-CN"/>
              </w:rPr>
              <w:t>3.请在“偏差原因分析及改进措施”中说明偏离目标、不能完成目标的原因及拟采取的措施。</w:t>
            </w:r>
            <w:r>
              <w:rPr>
                <w:rFonts w:hint="eastAsia"/>
                <w:lang w:val="en-US" w:eastAsia="zh-CN"/>
              </w:rPr>
              <w:br w:type="textWrapping"/>
            </w:r>
            <w:r>
              <w:rPr>
                <w:rFonts w:hint="eastAsia"/>
                <w:lang w:val="en-US" w:eastAsia="zh-CN"/>
              </w:rPr>
              <w:t>4.90（含）-100分为优、80（含）-90分为良、60（含）-80分为中、60分以下为差。</w:t>
            </w:r>
          </w:p>
          <w:p>
            <w:pPr>
              <w:pStyle w:val="2"/>
              <w:ind w:left="0" w:leftChars="0" w:firstLine="0" w:firstLineChars="0"/>
              <w:rPr>
                <w:rFonts w:hint="eastAsia" w:ascii="宋体" w:hAnsi="宋体" w:eastAsia="宋体" w:cs="宋体"/>
                <w:i w:val="0"/>
                <w:iCs w:val="0"/>
                <w:color w:val="000000"/>
                <w:kern w:val="0"/>
                <w:sz w:val="20"/>
                <w:szCs w:val="20"/>
                <w:u w:val="none"/>
                <w:lang w:val="en-US" w:eastAsia="zh-CN" w:bidi="ar"/>
              </w:rPr>
            </w:pP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10"/>
        <w:tblW w:w="140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1"/>
        <w:gridCol w:w="1286"/>
        <w:gridCol w:w="1416"/>
        <w:gridCol w:w="2135"/>
        <w:gridCol w:w="1561"/>
        <w:gridCol w:w="1362"/>
        <w:gridCol w:w="1365"/>
        <w:gridCol w:w="1261"/>
        <w:gridCol w:w="1155"/>
        <w:gridCol w:w="16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076"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076"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11000023T000002075828-北京先农坛先农神坛原状陈设复原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08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董绍鹏</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08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18500651367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54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59.810000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59.810000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59.250000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99.06%</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59.810000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59.810000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59.250000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99.06%</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04"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448"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1"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704"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先农坛是位于中轴线南段西侧的一处重要文化遗产。先农坛内保存着较为完整的古建筑群，目前对公众开放的区域为太岁殿院落、神厨院落、具服殿及观耕台、一亩三分地景观展示等。在中轴线申遗的进程中会逐步放开先农坛更多区域，这些区域内的先农坛本体建筑具有重要的历史文化及研究价值，这些文物建筑将作为未来先农坛对外展示的载体呈现在观众面前。此前我馆对先农坛坛域内的建筑也做了整体保护，基于整体保护的基础，目前在先农坛文物空间内的展示主题也正在由中国古代建筑向农耕文化及先农坛历史文化转型。未来北京先农坛在文物空间整体保护的基础之上大力打造中轴线上的农耕体验基地，该项目将作为前期可行性进行研究和探索。</w:t>
            </w:r>
          </w:p>
        </w:tc>
        <w:tc>
          <w:tcPr>
            <w:tcW w:w="54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开展北京先农坛先农神坛原状陈设复原工作，本项目按照预期时间完成，展品全部在2023.6.10之前按时准确到位，在未来北京先农坛在文物空间整体保护的基础之上大力打造中轴线上的农耕体验基地，该项目将作为前期可行性进行研究和探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9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auto"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2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8" w:type="dxa"/>
            <w:tcBorders>
              <w:top w:val="single" w:color="000000"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展览周期</w:t>
            </w:r>
          </w:p>
        </w:tc>
        <w:tc>
          <w:tcPr>
            <w:tcW w:w="2940" w:type="dxa"/>
            <w:gridSpan w:val="2"/>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≥10年</w:t>
            </w:r>
          </w:p>
        </w:tc>
        <w:tc>
          <w:tcPr>
            <w:tcW w:w="0" w:type="auto"/>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永久展出</w:t>
            </w:r>
          </w:p>
        </w:tc>
        <w:tc>
          <w:tcPr>
            <w:tcW w:w="1272"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14.00 </w:t>
            </w:r>
          </w:p>
        </w:tc>
        <w:tc>
          <w:tcPr>
            <w:tcW w:w="164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偏差原因分析：完成情况待后续考核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改进措施：今后将加强绩效管理，提高绩效指标设置错的合理性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24" w:type="dxa"/>
            <w:vMerge w:val="continue"/>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展品具有代表性行的比例</w:t>
            </w:r>
          </w:p>
        </w:tc>
        <w:tc>
          <w:tcPr>
            <w:tcW w:w="2940" w:type="dxa"/>
            <w:gridSpan w:val="2"/>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auto"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0" w:type="auto"/>
            <w:tcBorders>
              <w:top w:val="single" w:color="auto"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1644" w:type="dxa"/>
            <w:tcBorders>
              <w:top w:val="single" w:color="auto"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24" w:type="dxa"/>
            <w:vMerge w:val="continue"/>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展览活动实施验收合格率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24" w:type="dxa"/>
            <w:vMerge w:val="continue"/>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藏品保管良好率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24" w:type="dxa"/>
            <w:vMerge w:val="continue"/>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2023年3月完成项目启动</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924" w:type="dxa"/>
            <w:vMerge w:val="continue"/>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2023年5月底完成项目实施</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≤5月</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6月</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4.50 </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偏差原因分析：因制作工期要求，只能6月上旬完成项目，导致项目进度滞后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改进措施：以后加强项目计划编制的合理性及风险预估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8" w:hRule="atLeast"/>
        </w:trPr>
        <w:tc>
          <w:tcPr>
            <w:tcW w:w="924" w:type="dxa"/>
            <w:vMerge w:val="continue"/>
            <w:tcBorders>
              <w:top w:val="single" w:color="auto"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≤59.81万元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59.25万元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因履行三方必选程序，节约资金0.56万元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924"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文物保护水平及文物保护意识</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文物保护水平及文物保护意识得到提高</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 </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2" w:hRule="atLeast"/>
        </w:trPr>
        <w:tc>
          <w:tcPr>
            <w:tcW w:w="924"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参观人数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≥100000人次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155599人次</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4" w:hRule="atLeast"/>
        </w:trPr>
        <w:tc>
          <w:tcPr>
            <w:tcW w:w="924"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合作单位满意度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4" w:hRule="atLeast"/>
        </w:trPr>
        <w:tc>
          <w:tcPr>
            <w:tcW w:w="924" w:type="dxa"/>
            <w:vMerge w:val="continue"/>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参观观众满意度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6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96"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93.91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076"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pPr>
    </w:p>
    <w:p>
      <w:pPr>
        <w:pStyle w:val="2"/>
      </w:pPr>
    </w:p>
    <w:p>
      <w:pPr>
        <w:pStyle w:val="2"/>
      </w:pPr>
    </w:p>
    <w:p>
      <w:pPr>
        <w:pStyle w:val="2"/>
      </w:pPr>
    </w:p>
    <w:p>
      <w:pPr>
        <w:pStyle w:val="2"/>
      </w:pPr>
    </w:p>
    <w:tbl>
      <w:tblPr>
        <w:tblStyle w:val="10"/>
        <w:tblW w:w="149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3"/>
        <w:gridCol w:w="1307"/>
        <w:gridCol w:w="1308"/>
        <w:gridCol w:w="2147"/>
        <w:gridCol w:w="1572"/>
        <w:gridCol w:w="1368"/>
        <w:gridCol w:w="1368"/>
        <w:gridCol w:w="1271"/>
        <w:gridCol w:w="1583"/>
        <w:gridCol w:w="20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946"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46"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11000022T000000490744-先农坛神仓院保护修缮工程1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95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周海荣</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95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13501103352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54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198.897325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159.871918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159.871918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198.897325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159.871918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159.871918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24" w:type="dxa"/>
            <w:vMerge w:val="restar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04"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3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6"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704" w:type="dxa"/>
            <w:gridSpan w:val="5"/>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通过对先农坛神仓院保护修缮工程，恢复文物原始风貌，保障文物安全性和博物馆的正常运行，具体工作包括：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1.对神仓院建筑群的各文物遗存本体进行修缮，文物遗存本体包括：山门、收谷亭、圆廪神仓、东西碾房、东西仓房、祭器库、东西配房、院落地面及院墙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2.拆除神仓院院落内后代新建建筑，拆除面积：约326平方米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3.结合未来开放利用的功能需求重设相关基础设施。</w:t>
            </w:r>
          </w:p>
        </w:tc>
        <w:tc>
          <w:tcPr>
            <w:tcW w:w="6318" w:type="dxa"/>
            <w:gridSpan w:val="4"/>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通过对先农坛神仓院保护修缮工程的实施，恢复文物原始风貌，保障了文物安全性和博物馆的正常运行。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924" w:type="dxa"/>
            <w:vMerge w:val="restar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占地面积</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3505平方米</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3505平方米</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文物修缮数量</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9个</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9个</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拆除建筑面积</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约326平方米</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326平方米</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重设基础设施数量</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50个</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50个</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工程验收合格率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项目立项阶段</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≤2022年6月</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2022年6月</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项目实施阶段（专项资金到账后开始实施）</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≤2023年11月</w:t>
            </w:r>
          </w:p>
        </w:tc>
        <w:tc>
          <w:tcPr>
            <w:tcW w:w="1368"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2023年4月</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竣工验收时间（视情况跨年使用资金）</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1368"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2023年4月</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项目总预算</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616.974593万元</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实际到账656万元，退回财政金额39.025407万元。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≤593.72万元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576.754593万元</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合同招标结余资金35.095407万元，使用预备费30.67万元（合同签订金额546.084593万元）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≤75.3万元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39.49万元</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竣工图编制费，竣工决算编制费未支付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评标专家费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0.25万元</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偏差原因分析：只在公开招标施工单位时进行一次评标，监理费18.708156万元，进行内部比选，未开展评标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改进措施：以后加强项目预算绩效管理工作，合理编制项目绩效目标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专家咨询费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0.48万元</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通过对先农坛神仓院保护修缮工程，恢复文物原始风貌，保障文物安全性和博物馆的正常运行</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保障了文物安全性和博物馆的正常运行</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持续保障博物馆正常运营，传播中国传统文化，提高博物馆的影响力</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保障了博物馆正常运营，传播中国传统文化，提高了博物馆的影响力</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博物馆工作人员满意度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924"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参观游客满意度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996"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946"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pPr>
    </w:p>
    <w:p>
      <w:pPr>
        <w:pStyle w:val="2"/>
      </w:pPr>
    </w:p>
    <w:p>
      <w:pPr>
        <w:pStyle w:val="2"/>
      </w:pPr>
    </w:p>
    <w:p>
      <w:pPr>
        <w:pStyle w:val="2"/>
      </w:pPr>
    </w:p>
    <w:tbl>
      <w:tblPr>
        <w:tblStyle w:val="10"/>
        <w:tblW w:w="149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3"/>
        <w:gridCol w:w="1295"/>
        <w:gridCol w:w="1296"/>
        <w:gridCol w:w="2148"/>
        <w:gridCol w:w="1572"/>
        <w:gridCol w:w="1368"/>
        <w:gridCol w:w="1368"/>
        <w:gridCol w:w="1272"/>
        <w:gridCol w:w="1164"/>
        <w:gridCol w:w="25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943"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43"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11000022T000000490747-先农坛神仓院油饰彩画保护工程1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9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孟楠</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97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15101676920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51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227.801338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201.453701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201.453701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227.801338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201.453701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201.453701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80"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339"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68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通过先农坛神仓院油饰彩画保护工程，恢复文物原始风貌，保障文物安全性和博物馆的正常运行，具体工作包括：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1.现状修缮：修补残损地仗、重做油皮等。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2.彩画保护：除尘、粘修、去除污染等。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3.重点修复：重做部分后代绘制彩画—存在明显不符规制以及存在明显错误画法的部分彩画。</w:t>
            </w:r>
          </w:p>
        </w:tc>
        <w:tc>
          <w:tcPr>
            <w:tcW w:w="633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通过先农坛神仓院油饰彩画保护工程，恢复文物原始风貌，保障了文物安全性和博物馆的正常运行。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9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6"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文物建筑总面积</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1015平方米</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1015平方米</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彩画保护</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908.65平方米</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908.65平方米</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彩画重做</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223.5平方米</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223.5平方米</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修补残损地仗</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533.56平方米</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533.56平方米</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8"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验收合格率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在24年1月完成验收</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偏差原因分析：因项目资金到账时间延后验收工作开展较晚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改进措施：今后将项目计划编制的合理性及风险评估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2022年7月底前项目立项完成率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2023年11月底前项目实施完成率（专项资金到账后开始实施）</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2023年12月底前竣工验收完成率（视情况跨年使用资金）</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在24年1月完成验收</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偏差原因分析：因项目资金到账时间延后验收工作开展较晚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改进措施：今后将项目计划编制的合理性及风险评估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29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项目总预算</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391.332363万元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因履行政府采购程序，投标报价低于预算金额节约资金14.832677万元 ，                                                                                                                                                                                                                                                                                                                                                                                                                                                                                                                                                                                                                                                                                                                                                                                                                                                                                                                                                                                                                                                                                                                                                                                                                                                                                                                                                                                                                                                                                                                                                                                预备费以及评表专家费未花完，结余资金12.27496万元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工程费</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369.192363万元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其他费用</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≤48.78万元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21.27万元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专家咨询费</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≤0.72万元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0.72万元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评标专家费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nil"/>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通过彩画保护工程，消除安全隐患，保护文物安全</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消除了安全隐患，保护了文物安全优</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持续保障博物馆正常运营，传播中国传统文化，提高博物馆的影响力</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持续保障了博物馆正常运营，传播中国传统文化，提高了博物馆的影响力</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nil"/>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参观游客满意度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未开放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nil"/>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8" w:type="dxa"/>
            <w:tcBorders>
              <w:top w:val="single" w:color="000000" w:sz="4" w:space="0"/>
              <w:left w:val="nil"/>
              <w:bottom w:val="single" w:color="000000" w:sz="4" w:space="0"/>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博物馆工作人员满意度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6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5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97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87.50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943"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pPr>
    </w:p>
    <w:p>
      <w:pPr>
        <w:pStyle w:val="2"/>
      </w:pPr>
    </w:p>
    <w:p>
      <w:pPr>
        <w:pStyle w:val="2"/>
      </w:pPr>
    </w:p>
    <w:p>
      <w:pPr>
        <w:pStyle w:val="2"/>
      </w:pPr>
    </w:p>
    <w:p>
      <w:pPr>
        <w:pStyle w:val="2"/>
      </w:pPr>
    </w:p>
    <w:p>
      <w:pPr>
        <w:pStyle w:val="2"/>
      </w:pPr>
    </w:p>
    <w:tbl>
      <w:tblPr>
        <w:tblStyle w:val="10"/>
        <w:tblW w:w="14955" w:type="dxa"/>
        <w:tblInd w:w="8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6"/>
        <w:gridCol w:w="1207"/>
        <w:gridCol w:w="1384"/>
        <w:gridCol w:w="3"/>
        <w:gridCol w:w="2210"/>
        <w:gridCol w:w="3"/>
        <w:gridCol w:w="1663"/>
        <w:gridCol w:w="1627"/>
        <w:gridCol w:w="3"/>
        <w:gridCol w:w="1797"/>
        <w:gridCol w:w="3"/>
        <w:gridCol w:w="1357"/>
        <w:gridCol w:w="3"/>
        <w:gridCol w:w="1237"/>
        <w:gridCol w:w="3"/>
        <w:gridCol w:w="20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955" w:type="dxa"/>
            <w:gridSpan w:val="16"/>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55" w:type="dxa"/>
            <w:gridSpan w:val="16"/>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00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948" w:type="dxa"/>
            <w:gridSpan w:val="1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11000023T000002063190-先农坛庆成宫、神仓院、地祇坛、具服殿等增设部分安防设施设备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00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50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64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00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50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籍辰</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64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15011385615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00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2213" w:type="dxa"/>
            <w:gridSpan w:val="2"/>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6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2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20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00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1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66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396.000000 </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389.531457 </w:t>
            </w:r>
          </w:p>
        </w:tc>
        <w:tc>
          <w:tcPr>
            <w:tcW w:w="13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98.37%</w:t>
            </w:r>
          </w:p>
        </w:tc>
        <w:tc>
          <w:tcPr>
            <w:tcW w:w="20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00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66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396.000000 </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389.531457 </w:t>
            </w:r>
          </w:p>
        </w:tc>
        <w:tc>
          <w:tcPr>
            <w:tcW w:w="13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98.37%</w:t>
            </w:r>
          </w:p>
        </w:tc>
        <w:tc>
          <w:tcPr>
            <w:tcW w:w="20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00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66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00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13"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66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4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100" w:type="dxa"/>
            <w:gridSpan w:val="8"/>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439" w:type="dxa"/>
            <w:gridSpan w:val="7"/>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100"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通过本项目的实施使先农坛达到全国重点文物保护单位的防护要求，使文物得以保护。各项技术指标都应达到合格标准，全面提升安全管理方面职能，最大限度地满足相关部门目前及未来安全管理的需要。</w:t>
            </w:r>
          </w:p>
        </w:tc>
        <w:tc>
          <w:tcPr>
            <w:tcW w:w="643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项目顺利完成使先农坛达到全国重点文物保护单位的防护要求，使文物得以保护，最大限度地满足相关部门目前及未来安全管理的需要。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4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38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07"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87" w:type="dxa"/>
            <w:gridSpan w:val="2"/>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文物保护数量</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18座</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18座</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12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0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87" w:type="dxa"/>
            <w:gridSpan w:val="2"/>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文物建筑面积</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13684.86平方米</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13684.86平方米</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2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0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8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工程验收合格率</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2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0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87" w:type="dxa"/>
            <w:gridSpan w:val="2"/>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产出时效</w:t>
            </w: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2023年底项目实施完成率</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0" w:type="dxa"/>
            <w:gridSpan w:val="2"/>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8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预算控制数</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396万元</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389.531457万元</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招标结余6.468543万元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07"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8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促进旅游等相关产业增收</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有效增收</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促进了旅游等相关产业增收</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0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8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提升项目文物保护水平</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显著提升</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提升了项目文物保护水平</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0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8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对生态环境的影响程度</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无影响</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对生态环境无影响</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0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8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安防设施可持续影响</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有影响</w:t>
            </w:r>
          </w:p>
        </w:tc>
        <w:tc>
          <w:tcPr>
            <w:tcW w:w="18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达到了安防设施可持续影响有影响</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87" w:type="dxa"/>
            <w:gridSpan w:val="2"/>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参观游客满意度</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87" w:type="dxa"/>
            <w:gridSpan w:val="2"/>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2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博物馆工作人员满意度</w:t>
            </w:r>
          </w:p>
        </w:tc>
        <w:tc>
          <w:tcPr>
            <w:tcW w:w="329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80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0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0313"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36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24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90.84</w:t>
            </w:r>
          </w:p>
        </w:tc>
        <w:tc>
          <w:tcPr>
            <w:tcW w:w="2042" w:type="dxa"/>
            <w:gridSpan w:val="2"/>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955" w:type="dxa"/>
            <w:gridSpan w:val="16"/>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pPr>
    </w:p>
    <w:p>
      <w:pPr>
        <w:pStyle w:val="2"/>
      </w:pPr>
    </w:p>
    <w:p>
      <w:pPr>
        <w:pStyle w:val="2"/>
      </w:pPr>
    </w:p>
    <w:p>
      <w:pPr>
        <w:pStyle w:val="2"/>
      </w:pPr>
    </w:p>
    <w:p>
      <w:pPr>
        <w:pStyle w:val="2"/>
      </w:pPr>
    </w:p>
    <w:p>
      <w:pPr>
        <w:pStyle w:val="2"/>
      </w:pPr>
    </w:p>
    <w:p>
      <w:pPr>
        <w:pStyle w:val="2"/>
      </w:pPr>
    </w:p>
    <w:tbl>
      <w:tblPr>
        <w:tblStyle w:val="10"/>
        <w:tblW w:w="1470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86"/>
        <w:gridCol w:w="1373"/>
        <w:gridCol w:w="1373"/>
        <w:gridCol w:w="2280"/>
        <w:gridCol w:w="1666"/>
        <w:gridCol w:w="1453"/>
        <w:gridCol w:w="1453"/>
        <w:gridCol w:w="1346"/>
        <w:gridCol w:w="1240"/>
        <w:gridCol w:w="15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703"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4703"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971"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11000023T000002063733-先农坛消防二期升级改造工程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39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1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39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贾安辉</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1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13488800995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732"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6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15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233.000000 </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223.811490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96.06%</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233.000000 </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223.811490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96.06%</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98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145"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572"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6"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14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为了进行对公众开放和对文物古建筑更好的保护，对先农坛古建筑庆成宫、地祇坛院落增加改造消火栓；该项目完成后，确保既符合北京古代建筑博物馆消防实际需要，又符合国家文保消防现行的相关规范要求。</w:t>
            </w:r>
          </w:p>
        </w:tc>
        <w:tc>
          <w:tcPr>
            <w:tcW w:w="557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先农坛古建筑庆成宫、地祇坛院落增加改造消火栓符合北京古代建筑博物馆消防实际需要，又符合国家文保消防现行的相关规范要求，持续保障博物馆正常运营，传播中国传统文化，提高博物馆的影响力。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98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119" w:type="dxa"/>
            <w:gridSpan w:val="2"/>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37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点型光电感烟火灾探测器</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53个</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533"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火灾自动报警控制器</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533"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红外感烟探测器</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533"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室外消火栓</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3个</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533"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合格</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合格</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533"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2023年底前项目实施完成率</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533"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2"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7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项目总预算</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233万</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223.81149万元</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基本预备费</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11.1万</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7.031309万元</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未使用预备费4.068691万元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工程建设其他费用</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35.56万</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33.78018万元</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招标代理费，竣工图编制费未支付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工程直接费</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186.34万元</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183万元</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招标结余资金3.34万元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博物馆收益增长率</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收益有所增长</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持续保障博物馆正常运营，传播中国传统文化，提高博物馆的影响力</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持续保障了博物馆正常运营，传播中国传统文化，提高了博物馆的影响力</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通过对先农坛、庆成宫、地祇坛消防设备的增加，保障文物安全性和博物馆的正常运行</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保障了文物安全性和博物馆的正常运行</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4"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7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博物馆工作人员满意度</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8" w:hRule="atLeast"/>
        </w:trPr>
        <w:tc>
          <w:tcPr>
            <w:tcW w:w="98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参观游客满意度</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15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584"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91.61</w:t>
            </w:r>
          </w:p>
        </w:tc>
        <w:tc>
          <w:tcPr>
            <w:tcW w:w="1533"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703"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pPr>
    </w:p>
    <w:p>
      <w:pPr>
        <w:pStyle w:val="2"/>
      </w:pPr>
    </w:p>
    <w:p>
      <w:pPr>
        <w:pStyle w:val="2"/>
      </w:pPr>
    </w:p>
    <w:p>
      <w:pPr>
        <w:pStyle w:val="2"/>
      </w:pPr>
    </w:p>
    <w:p>
      <w:pPr>
        <w:pStyle w:val="2"/>
      </w:pPr>
    </w:p>
    <w:p>
      <w:pPr>
        <w:pStyle w:val="2"/>
      </w:pPr>
    </w:p>
    <w:tbl>
      <w:tblPr>
        <w:tblStyle w:val="10"/>
        <w:tblW w:w="149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3"/>
        <w:gridCol w:w="1306"/>
        <w:gridCol w:w="1307"/>
        <w:gridCol w:w="2147"/>
        <w:gridCol w:w="1570"/>
        <w:gridCol w:w="1368"/>
        <w:gridCol w:w="1368"/>
        <w:gridCol w:w="1271"/>
        <w:gridCol w:w="1163"/>
        <w:gridCol w:w="25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998"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98"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11000023T000002063773-先农坛拜殿、神厨、神仓、庆成宫防雷升级改造工程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00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刘星</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500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15801396601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54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443.000000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324.797375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73.32%</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443.000000 </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324.797375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73.32%</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04"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370"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704"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先农坛具有非常高的文物价值，存在极高的雷击风险隐患，一旦遭遇雷击，文物建筑将严重受损，对居民及游人的安全造成威胁。为防止或减少雷击所发生的人身伤亡和文物、财产损失，应按照现行规范要求，完善现有的防雷设施安装，可有效的提前预防雷电，确实提高先农坛对雷电的防御能力，实现对人员及文物建筑更好的防护。</w:t>
            </w:r>
          </w:p>
        </w:tc>
        <w:tc>
          <w:tcPr>
            <w:tcW w:w="637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项目顺利完成，防止和减少雷击建筑物所发生的文物损害和人员伤亡，防雷文物建筑的要求，重点保护该建筑群和人员的安全，并满足下列要求：本着“安全可靠、技术先进、经济合理”的原则，在遵照执行国家有关行业标准的基础上，参考和引入IEC国际电工委员会的有关防雷技术标准要求，减小雷电自然灾害的损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高效防腐离子接地极</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135个</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暂未完成</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偏差原因分析：因庆成宫修缮工程未完成影响防雷工程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改进措施：继续有序推进工作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雷电峰值记录仪</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2台</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2台</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项目按计划完成率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偏差原因分析：因庆成宫修缮工程未完成影响防雷工程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改进措施：继续有序推进工作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安全事故发生率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不可预见性问题造成的影响</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30天</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因庆成宫修缮工程未完成影响防雷工程</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偏差原因分析：因庆成宫修缮工程未完成影响防雷工程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改进措施：加强绩效管理，加强指标设置的合理性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不可抗力造成的影响</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30天</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偏差原因分析：未发生不可抗力时间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改进措施：加强绩效管理，加强指标设置的合理性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443万元</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324.797375万元</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偏差原因分析：因庆成宫修缮工程未完成影响防雷工程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改进措施：持续有序推进工作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促进旅游等相关产业增收</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有效增收</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有效促进旅游等相关产业增收</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提升项目文物保护水平</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显著提升</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提升了项目文物保护水平</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对生态环境的影响程度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无影响</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对生态环境无影响</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防雷设施可持续影响</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有影响</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达到了防雷设施可持续影响</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使用单位满意度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5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偏差原因分析：项目未完成，暂未开展满意度调查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996"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80.33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998"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10"/>
        <w:tblW w:w="149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3"/>
        <w:gridCol w:w="1295"/>
        <w:gridCol w:w="1296"/>
        <w:gridCol w:w="2147"/>
        <w:gridCol w:w="1366"/>
        <w:gridCol w:w="1308"/>
        <w:gridCol w:w="1547"/>
        <w:gridCol w:w="1271"/>
        <w:gridCol w:w="1163"/>
        <w:gridCol w:w="26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95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5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11000023T000002072676-先农坛庆成宫、神厨院及宰牲亭彩画保护工程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8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0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8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王昊玥</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50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13311563041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51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698.000000 </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648.779851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92.95%</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698.000000 </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648.779851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92.95%</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16"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610"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41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通过先农坛庆成宫、神厨院及宰牲亭彩画保护工程，恢复文物原始风貌，保障文物安全性和博物馆的正常运行，具体工作包括：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1、对彩画进行除尘、粘修及去除污染等。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2、地杖缺失位置对木基层进行钻生，小面积修补保护。</w:t>
            </w:r>
          </w:p>
        </w:tc>
        <w:tc>
          <w:tcPr>
            <w:tcW w:w="661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先农坛庆成宫、神厨院及宰牲亭彩画保护工程工作的开展，对彩画进行除尘、粘修及去除污染，地杖缺失位置对木基层进行钻生，小面积修补保护工作，恢复文物原始风貌，保障文物安全性和博物馆的正常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67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6"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彩画保护</w:t>
            </w:r>
          </w:p>
        </w:tc>
        <w:tc>
          <w:tcPr>
            <w:tcW w:w="267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5276.07平方米</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5276.07平方米</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文物建筑总面积</w:t>
            </w:r>
          </w:p>
        </w:tc>
        <w:tc>
          <w:tcPr>
            <w:tcW w:w="267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2509.87平方米</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2509.87平方米</w:t>
            </w:r>
          </w:p>
        </w:tc>
        <w:tc>
          <w:tcPr>
            <w:tcW w:w="1272" w:type="dxa"/>
            <w:tcBorders>
              <w:top w:val="nil"/>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4"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验收合格率</w:t>
            </w:r>
          </w:p>
        </w:tc>
        <w:tc>
          <w:tcPr>
            <w:tcW w:w="267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2023年12月底前完成施工完成率（视情况跨年使用资金）</w:t>
            </w:r>
          </w:p>
        </w:tc>
        <w:tc>
          <w:tcPr>
            <w:tcW w:w="267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restart"/>
            <w:tcBorders>
              <w:top w:val="nil"/>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29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项目总预算</w:t>
            </w:r>
          </w:p>
        </w:tc>
        <w:tc>
          <w:tcPr>
            <w:tcW w:w="267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698万元</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648.779851万元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因预备费未支出等原因，结余49.220149万元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工程费</w:t>
            </w:r>
          </w:p>
        </w:tc>
        <w:tc>
          <w:tcPr>
            <w:tcW w:w="267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515.767709万元</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509.425989万元</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通过彩画保护工程，消除安全隐患，保护文物安全</w:t>
            </w:r>
          </w:p>
        </w:tc>
        <w:tc>
          <w:tcPr>
            <w:tcW w:w="267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优良中低差</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保护了文物安全</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持续保障博物馆正常运营，传播中国传统文化，提高博物馆的影响力</w:t>
            </w:r>
          </w:p>
        </w:tc>
        <w:tc>
          <w:tcPr>
            <w:tcW w:w="267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优良中低差</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持续保障了博物馆正常运营，传播中国传统文化，提高了博物馆的影响力</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restart"/>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参观游客满意度</w:t>
            </w:r>
          </w:p>
        </w:tc>
        <w:tc>
          <w:tcPr>
            <w:tcW w:w="267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博物馆工作人员满意度</w:t>
            </w:r>
          </w:p>
        </w:tc>
        <w:tc>
          <w:tcPr>
            <w:tcW w:w="267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6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9888"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93.29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950"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10"/>
        <w:tblW w:w="148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3"/>
        <w:gridCol w:w="1295"/>
        <w:gridCol w:w="1295"/>
        <w:gridCol w:w="2147"/>
        <w:gridCol w:w="1569"/>
        <w:gridCol w:w="1583"/>
        <w:gridCol w:w="1535"/>
        <w:gridCol w:w="1271"/>
        <w:gridCol w:w="1163"/>
        <w:gridCol w:w="20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878"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4878"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11000023T000002073765-先农坛庆成宫保护修缮工程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30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52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30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朱艳星</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52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13683125009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51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3504.000000 </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1795.054657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51.23%</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3504.000000 </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1795.054657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51.23%</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896"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058"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1"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89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先农坛庆城宫保护修缮工程施工，保障文物安全性，恢复古建筑院落整体原始风貌，修复受损文物本体，建设给排水等基础设施，具备向社会大众开放的基本条件。本次修缮工程范围包括庆成宫院落所有文物建筑本体。</w:t>
            </w:r>
          </w:p>
        </w:tc>
        <w:tc>
          <w:tcPr>
            <w:tcW w:w="605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本项目顺利实施，保障文物安全性，恢复古建筑院落整体原始风貌，修复受损文物本体，使先农坛具备向社会大众开放的基本条件，持续保障博物馆正常运营，传播中国传统文化，提高博物馆影响力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96"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1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924" w:type="dxa"/>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restart"/>
            <w:tcBorders>
              <w:top w:val="single" w:color="auto" w:sz="4" w:space="0"/>
              <w:left w:val="single" w:color="auto" w:sz="4" w:space="0"/>
              <w:bottom w:val="single" w:color="auto" w:sz="4" w:space="0"/>
              <w:right w:val="single" w:color="auto" w:sz="4" w:space="0"/>
            </w:tcBorders>
            <w:noWrap/>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6" w:type="dxa"/>
            <w:vMerge w:val="restart"/>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文物修缮数量</w:t>
            </w:r>
          </w:p>
        </w:tc>
        <w:tc>
          <w:tcPr>
            <w:tcW w:w="31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9座</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5座</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偏差原因分析：因申遗迎检造成停工所致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改进措施：继续有序推进修缮，计划2024年5月底完工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924" w:type="dxa"/>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auto" w:sz="4" w:space="0"/>
              <w:left w:val="single" w:color="auto" w:sz="4" w:space="0"/>
              <w:bottom w:val="single" w:color="auto"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auto" w:sz="4" w:space="0"/>
              <w:left w:val="single" w:color="000000"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文物建筑面积</w:t>
            </w:r>
          </w:p>
        </w:tc>
        <w:tc>
          <w:tcPr>
            <w:tcW w:w="31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13684.86平方米</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约8000平方米</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偏差原因分析：因申遗迎检造成停工所致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改进措施：继续有序推进修缮，计划2024年5月底完工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0" w:hRule="atLeast"/>
        </w:trPr>
        <w:tc>
          <w:tcPr>
            <w:tcW w:w="924" w:type="dxa"/>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auto" w:sz="4" w:space="0"/>
              <w:left w:val="single" w:color="auto" w:sz="4" w:space="0"/>
              <w:bottom w:val="nil"/>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工程验收合格率</w:t>
            </w:r>
          </w:p>
        </w:tc>
        <w:tc>
          <w:tcPr>
            <w:tcW w:w="31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绿化完成100%并验收，古建修缮完成工程总量的56%</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偏差原因分析：修缮项目完成56%，尚在执行中暂未组织验收，绿化已完成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改进措施：在项目完成结束后，进行工程验收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924" w:type="dxa"/>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auto" w:sz="4" w:space="0"/>
              <w:bottom w:val="nil"/>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2023年底项目实施完成率（视情况跨年使用资金）</w:t>
            </w:r>
          </w:p>
        </w:tc>
        <w:tc>
          <w:tcPr>
            <w:tcW w:w="31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绿化完成100%并验收，古建修缮完成工程总量的56%</w:t>
            </w:r>
          </w:p>
        </w:tc>
        <w:tc>
          <w:tcPr>
            <w:tcW w:w="127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偏差原因分析：因申遗迎检造成停工所致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改进措施：继续有序推进修缮，计划2024年5月底完工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296"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修缮工程费</w:t>
            </w:r>
          </w:p>
        </w:tc>
        <w:tc>
          <w:tcPr>
            <w:tcW w:w="31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≤2728万元</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中标金额：2670.069411万元（2023年实际支付1335.034711万元）</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偏差原因分析：因申遗迎检造成停工所致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改进措施：继续有序推进修缮，计划2024年5月底完工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24" w:type="dxa"/>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14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博物馆收益增长率</w:t>
            </w:r>
          </w:p>
        </w:tc>
        <w:tc>
          <w:tcPr>
            <w:tcW w:w="31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未完成，但古建馆游客不断增加。</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偏差原因分析：项目尚在执行中暂未达到预期效果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24" w:type="dxa"/>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auto" w:sz="4" w:space="0"/>
              <w:left w:val="single" w:color="auto"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恢复先农坛庆成宫历史原貌，保护文物安全</w:t>
            </w:r>
          </w:p>
        </w:tc>
        <w:tc>
          <w:tcPr>
            <w:tcW w:w="31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未完成，但先农坛庆成宫历史原貌主体已基本恢复，文物安全已得到保障。</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偏差原因分析：项目尚在执行中暂未达到预期效果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24" w:type="dxa"/>
            <w:vMerge w:val="continue"/>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auto"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持续保障博物馆正常运营，传播中国传统文化，提高博物馆影响力</w:t>
            </w:r>
          </w:p>
        </w:tc>
        <w:tc>
          <w:tcPr>
            <w:tcW w:w="31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大量参观人员，周边居民对庆成宫感兴趣。</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偏差原因分析：项目尚在执行中暂未达到预期效果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参观游客满意度</w:t>
            </w:r>
          </w:p>
        </w:tc>
        <w:tc>
          <w:tcPr>
            <w:tcW w:w="31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暂未开展，但大量调研、检查等都十分满意</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偏差原因分析：因申遗迎检造成停工所致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改进措施：继续有序推进修缮，计划2024年5月底完工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0356"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80.12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878"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pPr>
    </w:p>
    <w:p>
      <w:pPr>
        <w:pStyle w:val="2"/>
      </w:pPr>
    </w:p>
    <w:tbl>
      <w:tblPr>
        <w:tblStyle w:val="10"/>
        <w:tblW w:w="152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85"/>
        <w:gridCol w:w="1371"/>
        <w:gridCol w:w="1372"/>
        <w:gridCol w:w="2279"/>
        <w:gridCol w:w="1663"/>
        <w:gridCol w:w="1452"/>
        <w:gridCol w:w="1453"/>
        <w:gridCol w:w="1345"/>
        <w:gridCol w:w="1239"/>
        <w:gridCol w:w="20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5223"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15223"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11000023T000002336984-先农坛庆成宫、地祇坛消防三期工程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39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63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048020-北京古代建筑博物馆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39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贾安辉</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63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13488800995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732"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6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 xml:space="preserve">188.96000 </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173.978284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92.07%</w:t>
            </w:r>
          </w:p>
        </w:tc>
        <w:tc>
          <w:tcPr>
            <w:tcW w:w="20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 xml:space="preserve">188.96000 </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173.978284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92.07%</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3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98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145"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092"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1" w:hRule="atLeast"/>
        </w:trPr>
        <w:tc>
          <w:tcPr>
            <w:tcW w:w="986"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14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为了进行对公众开放和对文物古建筑更好的保护，对先农坛古建筑庆成宫、地祇坛院落增加改造消火栓；该项目完成后，确保既符合北京古代建筑博物馆消防实际需要，又符合国家文保消防现行的相关规范要求。</w:t>
            </w:r>
          </w:p>
        </w:tc>
        <w:tc>
          <w:tcPr>
            <w:tcW w:w="609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项目对先农坛古建筑庆成宫、地祇坛院落增加改造消火栓；既符合北京古代建筑博物馆消防实际需要，又符合国家文保消防现行的相关规范要求，持续保障博物馆正常运营，传播中国传统文化，提高博物馆的影响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986"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73"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119" w:type="dxa"/>
            <w:gridSpan w:val="2"/>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0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restart"/>
            <w:tcBorders>
              <w:top w:val="single" w:color="000000" w:sz="4" w:space="0"/>
              <w:left w:val="single" w:color="auto"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37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地下消火栓</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auto"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消防水带</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auto"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水枪头</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16个</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16个</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auto"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合格</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auto"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2023年底前项目实施完成率</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0" w:hRule="atLeast"/>
        </w:trPr>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tcBorders>
              <w:top w:val="single" w:color="000000" w:sz="4" w:space="0"/>
              <w:left w:val="single" w:color="auto"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项目总预算</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188.960812万元</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173.978284万元</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0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因履行政府采购程序，投标报价低于预算金额，节约资金1.79067万元，竣工决算审核后合同审减金额7.688138万元，基本预备费未使用，结余资金5.503713万元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trPr>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restart"/>
            <w:tcBorders>
              <w:top w:val="single" w:color="000000" w:sz="4" w:space="0"/>
              <w:left w:val="single" w:color="auto"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博物馆收益增长率</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收益有所增长</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13.50</w:t>
            </w:r>
          </w:p>
        </w:tc>
        <w:tc>
          <w:tcPr>
            <w:tcW w:w="20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auto"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通过参观博物馆使游客了解历史文化</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优良中低差</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游客历史文化得到提高</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13.50</w:t>
            </w:r>
          </w:p>
        </w:tc>
        <w:tc>
          <w:tcPr>
            <w:tcW w:w="20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0" w:hRule="atLeast"/>
        </w:trPr>
        <w:tc>
          <w:tcPr>
            <w:tcW w:w="98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sz w:val="20"/>
                <w:szCs w:val="20"/>
                <w:u w:val="none"/>
              </w:rPr>
            </w:pPr>
          </w:p>
        </w:tc>
        <w:tc>
          <w:tcPr>
            <w:tcW w:w="1373"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博物馆工作人员</w:t>
            </w:r>
          </w:p>
        </w:tc>
        <w:tc>
          <w:tcPr>
            <w:tcW w:w="31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0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偏差原因分析：未开展满意度调查，相应支撑材料不充分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10584"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94.21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5223"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pPr>
    </w:p>
    <w:p>
      <w:pPr>
        <w:pStyle w:val="2"/>
      </w:pPr>
    </w:p>
    <w:p>
      <w:pPr>
        <w:pStyle w:val="2"/>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1A2B52"/>
    <w:multiLevelType w:val="singleLevel"/>
    <w:tmpl w:val="FE1A2B5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mMjRiZGQ5NWQ1Yzg3Zjc4OWM3MDU5ZDA0NzI5Yz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7B80D22"/>
    <w:rsid w:val="0BA148CA"/>
    <w:rsid w:val="0DB66A85"/>
    <w:rsid w:val="0DD136FE"/>
    <w:rsid w:val="0F8E2C57"/>
    <w:rsid w:val="1059665E"/>
    <w:rsid w:val="10AC13BA"/>
    <w:rsid w:val="1AEC0734"/>
    <w:rsid w:val="1DEF20B0"/>
    <w:rsid w:val="1E5E181A"/>
    <w:rsid w:val="214243FA"/>
    <w:rsid w:val="21AD613C"/>
    <w:rsid w:val="257A14F5"/>
    <w:rsid w:val="27196C26"/>
    <w:rsid w:val="29EF086F"/>
    <w:rsid w:val="2BC37160"/>
    <w:rsid w:val="2D217D0A"/>
    <w:rsid w:val="2EFFE297"/>
    <w:rsid w:val="301437CA"/>
    <w:rsid w:val="31182FE0"/>
    <w:rsid w:val="349D1F0A"/>
    <w:rsid w:val="34DD0473"/>
    <w:rsid w:val="3B135E89"/>
    <w:rsid w:val="3BAE7806"/>
    <w:rsid w:val="3D582E94"/>
    <w:rsid w:val="433E495C"/>
    <w:rsid w:val="4AC27CB3"/>
    <w:rsid w:val="4BF72BEF"/>
    <w:rsid w:val="51DB3C59"/>
    <w:rsid w:val="523A2D2F"/>
    <w:rsid w:val="550C0952"/>
    <w:rsid w:val="55762E42"/>
    <w:rsid w:val="57A7B272"/>
    <w:rsid w:val="58470068"/>
    <w:rsid w:val="5A1720F9"/>
    <w:rsid w:val="5B9C37C2"/>
    <w:rsid w:val="5BA7C654"/>
    <w:rsid w:val="5C553C81"/>
    <w:rsid w:val="642B3F00"/>
    <w:rsid w:val="64C0607C"/>
    <w:rsid w:val="676F09E1"/>
    <w:rsid w:val="697019BF"/>
    <w:rsid w:val="73015F9C"/>
    <w:rsid w:val="76E81AD9"/>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40" b="0" i="0" u="none" strike="noStrike" kern="1200" cap="none" spc="0" normalizeH="0" baseline="0">
              <a:solidFill>
                <a:schemeClr val="tx1"/>
              </a:solidFill>
              <a:uFill>
                <a:solidFill>
                  <a:schemeClr val="tx1"/>
                </a:solidFill>
              </a:u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6"/>
              </a:solidFill>
              <a:ln w="19050">
                <a:solidFill>
                  <a:schemeClr val="lt1"/>
                </a:solidFill>
              </a:ln>
              <a:effectLst/>
            </c:spPr>
          </c:dPt>
          <c:dPt>
            <c:idx val="1"/>
            <c:bubble3D val="0"/>
            <c:spPr>
              <a:solidFill>
                <a:schemeClr val="accent5"/>
              </a:solidFill>
              <a:ln w="19050">
                <a:solidFill>
                  <a:schemeClr val="lt1"/>
                </a:solidFill>
              </a:ln>
              <a:effectLst/>
            </c:spPr>
          </c:dPt>
          <c:dPt>
            <c:idx val="2"/>
            <c:bubble3D val="0"/>
            <c:spPr>
              <a:solidFill>
                <a:schemeClr val="accent4"/>
              </a:solidFill>
              <a:ln w="19050">
                <a:solidFill>
                  <a:schemeClr val="lt1"/>
                </a:solidFill>
              </a:ln>
              <a:effectLst/>
            </c:spPr>
          </c:dPt>
          <c:dPt>
            <c:idx val="3"/>
            <c:bubble3D val="0"/>
            <c:spPr>
              <a:solidFill>
                <a:schemeClr val="accent6">
                  <a:lumMod val="60000"/>
                </a:schemeClr>
              </a:solidFill>
              <a:ln w="19050">
                <a:solidFill>
                  <a:schemeClr val="lt1"/>
                </a:solidFill>
              </a:ln>
              <a:effectLst/>
            </c:spPr>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a:noFill/>
              </a:ln>
              <a:effectLst/>
            </c:spPr>
            <c:txPr>
              <a:bodyPr rot="0" spcFirstLastPara="0" vertOverflow="ellipsis" vert="horz" wrap="square" lIns="38100" tIns="19050" rIns="38100" bIns="19050" anchor="ctr" anchorCtr="1"/>
              <a:lstStyle/>
              <a:p>
                <a:pPr>
                  <a:defRPr lang="zh-CN" sz="1200" b="0" i="0" u="none" strike="noStrike" kern="1200" cap="none" spc="0" normalizeH="0" baseline="0">
                    <a:solidFill>
                      <a:schemeClr val="tx1"/>
                    </a:solidFill>
                    <a:uFill>
                      <a:solidFill>
                        <a:schemeClr val="tx1"/>
                      </a:solidFill>
                    </a:uFill>
                    <a:latin typeface="+mn-lt"/>
                    <a:ea typeface="+mn-ea"/>
                    <a:cs typeface="+mn-cs"/>
                  </a:defRPr>
                </a:pPr>
              </a:p>
            </c:txPr>
            <c:dLblPos val="outEnd"/>
            <c:showLegendKey val="1"/>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事业收入</c:v>
                </c:pt>
                <c:pt idx="1">
                  <c:v>其他收入</c:v>
                </c:pt>
                <c:pt idx="2">
                  <c:v>财政拨款收入</c:v>
                </c:pt>
              </c:strCache>
            </c:strRef>
          </c:cat>
          <c:val>
            <c:numRef>
              <c:f>Sheet1!$B$2:$B$5</c:f>
              <c:numCache>
                <c:formatCode>0.00%</c:formatCode>
                <c:ptCount val="4"/>
                <c:pt idx="0">
                  <c:v>0.0144</c:v>
                </c:pt>
                <c:pt idx="1">
                  <c:v>0.0856</c:v>
                </c:pt>
                <c:pt idx="2">
                  <c:v>0.9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1200" b="0" i="0" u="none" strike="noStrike" kern="1200" cap="none" spc="0" normalizeH="0" baseline="0">
                <a:solidFill>
                  <a:schemeClr val="tx1"/>
                </a:solidFill>
                <a:uFill>
                  <a:solidFill>
                    <a:schemeClr val="tx1"/>
                  </a:solidFill>
                </a:uFill>
                <a:latin typeface="+mn-lt"/>
                <a:ea typeface="+mn-ea"/>
                <a:cs typeface="+mn-cs"/>
              </a:defRPr>
            </a:pPr>
          </a:p>
        </c:txPr>
      </c:legendEntry>
      <c:legendEntry>
        <c:idx val="1"/>
        <c:txPr>
          <a:bodyPr rot="0" spcFirstLastPara="0" vertOverflow="ellipsis" vert="horz" wrap="square" anchor="ctr" anchorCtr="1"/>
          <a:lstStyle/>
          <a:p>
            <a:pPr>
              <a:defRPr lang="zh-CN" sz="1200" b="0" i="0" u="none" strike="noStrike" kern="1200" cap="none" spc="0" normalizeH="0" baseline="0">
                <a:solidFill>
                  <a:schemeClr val="tx1"/>
                </a:solidFill>
                <a:uFill>
                  <a:solidFill>
                    <a:schemeClr val="tx1"/>
                  </a:solidFill>
                </a:uFill>
                <a:latin typeface="+mn-lt"/>
                <a:ea typeface="+mn-ea"/>
                <a:cs typeface="+mn-cs"/>
              </a:defRPr>
            </a:pPr>
          </a:p>
        </c:txPr>
      </c:legendEntry>
      <c:legendEntry>
        <c:idx val="2"/>
        <c:txPr>
          <a:bodyPr rot="0" spcFirstLastPara="0" vertOverflow="ellipsis" vert="horz" wrap="square" anchor="ctr" anchorCtr="1"/>
          <a:lstStyle/>
          <a:p>
            <a:pPr>
              <a:defRPr lang="zh-CN" sz="1200" b="0" i="0" u="none" strike="noStrike" kern="1200" cap="none" spc="0" normalizeH="0" baseline="0">
                <a:solidFill>
                  <a:schemeClr val="tx1"/>
                </a:solidFill>
                <a:uFill>
                  <a:solidFill>
                    <a:schemeClr val="tx1"/>
                  </a:solidFill>
                </a:uFill>
                <a:latin typeface="+mn-lt"/>
                <a:ea typeface="+mn-ea"/>
                <a:cs typeface="+mn-cs"/>
              </a:defRPr>
            </a:pPr>
          </a:p>
        </c:txPr>
      </c:legendEntry>
      <c:legendEntry>
        <c:idx val="3"/>
        <c:delete val="1"/>
      </c:legendEntry>
      <c:layout/>
      <c:overlay val="0"/>
      <c:spPr>
        <a:noFill/>
        <a:ln>
          <a:noFill/>
        </a:ln>
        <a:effectLst/>
      </c:spPr>
      <c:txPr>
        <a:bodyPr rot="0" spcFirstLastPara="0" vertOverflow="ellipsis" vert="horz" wrap="square" anchor="ctr" anchorCtr="1"/>
        <a:lstStyle/>
        <a:p>
          <a:pPr>
            <a:defRPr lang="zh-CN" sz="1200" b="0" i="0" u="none" strike="noStrike" kern="1200" cap="none" spc="0" normalizeH="0" baseline="0">
              <a:solidFill>
                <a:schemeClr val="tx1"/>
              </a:solidFill>
              <a:uFill>
                <a:solidFill>
                  <a:schemeClr val="tx1"/>
                </a:solidFill>
              </a:uFill>
              <a:latin typeface="+mn-lt"/>
              <a:ea typeface="+mn-ea"/>
              <a:cs typeface="+mn-cs"/>
            </a:defRPr>
          </a:pPr>
        </a:p>
      </c:txPr>
    </c:legend>
    <c:plotVisOnly val="1"/>
    <c:dispBlanksAs val="gap"/>
    <c:showDLblsOverMax val="0"/>
  </c:chart>
  <c:spPr>
    <a:solidFill>
      <a:schemeClr val="bg1"/>
    </a:solidFill>
    <a:ln w="9525" cap="flat" cmpd="sng" algn="ctr">
      <a:noFill/>
      <a:round/>
    </a:ln>
    <a:effectLst/>
  </c:spPr>
  <c:txPr>
    <a:bodyPr/>
    <a:lstStyle/>
    <a:p>
      <a:pPr>
        <a:defRPr lang="zh-CN" sz="1200" u="none" strike="noStrike" kern="1200" cap="none" spc="0" normalizeH="0">
          <a:solidFill>
            <a:schemeClr val="tx1"/>
          </a:solidFill>
          <a:uFill>
            <a:solidFill>
              <a:schemeClr val="tx1"/>
            </a:solidFill>
          </a:uFill>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a:ln w="19050">
              <a:noFill/>
            </a:ln>
          </c:spPr>
          <c:explosion val="0"/>
          <c:dPt>
            <c:idx val="0"/>
            <c:bubble3D val="0"/>
            <c:spPr>
              <a:solidFill>
                <a:schemeClr val="accent1"/>
              </a:solidFill>
              <a:ln w="19050">
                <a:noFill/>
              </a:ln>
              <a:effectLst/>
            </c:spPr>
          </c:dPt>
          <c:dPt>
            <c:idx val="1"/>
            <c:bubble3D val="0"/>
            <c:spPr>
              <a:solidFill>
                <a:schemeClr val="accent2"/>
              </a:solidFill>
              <a:ln w="19050">
                <a:noFill/>
              </a:ln>
              <a:effectLst/>
            </c:spPr>
          </c:dPt>
          <c:dPt>
            <c:idx val="2"/>
            <c:bubble3D val="0"/>
            <c:spPr>
              <a:solidFill>
                <a:schemeClr val="accent3"/>
              </a:solidFill>
              <a:ln w="19050">
                <a:noFill/>
              </a:ln>
              <a:effectLst/>
            </c:spPr>
          </c:dPt>
          <c:dPt>
            <c:idx val="3"/>
            <c:bubble3D val="0"/>
            <c:spPr>
              <a:solidFill>
                <a:schemeClr val="accent4"/>
              </a:solidFill>
              <a:ln w="19050">
                <a:noFill/>
              </a:ln>
              <a:effectLst/>
            </c:spPr>
          </c:dPt>
          <c:dLbls>
            <c:dLbl>
              <c:idx val="0"/>
              <c:layout/>
              <c:dLblPos val="outEnd"/>
              <c:showLegendKey val="1"/>
              <c:showVal val="1"/>
              <c:showCatName val="0"/>
              <c:showSerName val="0"/>
              <c:showPercent val="0"/>
              <c:showBubbleSize val="0"/>
              <c:extLst>
                <c:ext xmlns:c15="http://schemas.microsoft.com/office/drawing/2012/chart" uri="{CE6537A1-D6FC-4f65-9D91-7224C49458BB}"/>
              </c:extLst>
            </c:dLbl>
            <c:dLbl>
              <c:idx val="1"/>
              <c:layout/>
              <c:dLblPos val="outEnd"/>
              <c:showLegendKey val="1"/>
              <c:showVal val="1"/>
              <c:showCatName val="0"/>
              <c:showSerName val="0"/>
              <c:showPercent val="0"/>
              <c:showBubbleSize val="0"/>
              <c:extLst>
                <c:ext xmlns:c15="http://schemas.microsoft.com/office/drawing/2012/chart" uri="{CE6537A1-D6FC-4f65-9D91-7224C49458BB}"/>
              </c:extLst>
            </c:dLbl>
            <c:dLbl>
              <c:idx val="2"/>
              <c:delete val="1"/>
            </c:dLbl>
            <c:dLbl>
              <c:idx val="3"/>
              <c:delete val="1"/>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0"/>
              </a:gradFill>
              <a:ln>
                <a:noFill/>
              </a:ln>
              <a:effectLst/>
            </c:spPr>
            <c:txPr>
              <a:bodyPr rot="0" spcFirstLastPara="0" vertOverflow="ellipsis" vert="horz" wrap="square" lIns="38100" tIns="19050" rIns="38100" bIns="19050" anchor="ctr" anchorCtr="1"/>
              <a:lstStyle/>
              <a:p>
                <a:pPr>
                  <a:defRPr lang="zh-CN" sz="1200" b="0" i="0" u="none" strike="noStrike" kern="1200" baseline="0">
                    <a:solidFill>
                      <a:schemeClr val="tx1">
                        <a:lumMod val="75000"/>
                        <a:lumOff val="25000"/>
                      </a:schemeClr>
                    </a:solidFill>
                    <a:latin typeface="+mn-lt"/>
                    <a:ea typeface="+mn-ea"/>
                    <a:cs typeface="+mn-cs"/>
                  </a:defRPr>
                </a:pPr>
              </a:p>
            </c:txPr>
            <c:dLblPos val="outEnd"/>
            <c:showLegendKey val="1"/>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项目支出</c:v>
                </c:pt>
                <c:pt idx="1">
                  <c:v>基本支出</c:v>
                </c:pt>
              </c:strCache>
            </c:strRef>
          </c:cat>
          <c:val>
            <c:numRef>
              <c:f>Sheet1!$B$2:$B$5</c:f>
              <c:numCache>
                <c:formatCode>0.00%</c:formatCode>
                <c:ptCount val="4"/>
                <c:pt idx="0">
                  <c:v>0.761</c:v>
                </c:pt>
                <c:pt idx="1">
                  <c:v>0.239</c:v>
                </c:pt>
              </c:numCache>
            </c:numRef>
          </c:val>
        </c:ser>
        <c:dLbls>
          <c:showLegendKey val="1"/>
          <c:showVal val="0"/>
          <c:showCatName val="0"/>
          <c:showSerName val="0"/>
          <c:showPercent val="0"/>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Entry>
      <c:legendEntry>
        <c:idx val="2"/>
        <c:delete val="1"/>
      </c:legendEntry>
      <c:legendEntry>
        <c:idx val="3"/>
        <c:delete val="1"/>
      </c:legendEntry>
      <c:layout/>
      <c:overlay val="0"/>
      <c:spPr>
        <a:noFill/>
        <a:ln>
          <a:noFill/>
        </a:ln>
        <a:effectLst/>
      </c:spPr>
      <c:txPr>
        <a:bodyPr rot="0" spcFirstLastPara="0"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23480</Words>
  <Characters>28864</Characters>
  <Lines>44</Lines>
  <Paragraphs>12</Paragraphs>
  <TotalTime>445</TotalTime>
  <ScaleCrop>false</ScaleCrop>
  <LinksUpToDate>false</LinksUpToDate>
  <CharactersWithSpaces>30684</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Mr.Lr</cp:lastModifiedBy>
  <cp:lastPrinted>2020-08-07T11:39:00Z</cp:lastPrinted>
  <dcterms:modified xsi:type="dcterms:W3CDTF">2024-09-18T01:27:00Z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2390FE2B9F7941C98F9AE2582D8E99CE</vt:lpwstr>
  </property>
</Properties>
</file>