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bookmarkStart w:id="0" w:name="_GoBack"/>
      <w:bookmarkEnd w:id="0"/>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大钟寺古钟博物馆</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大钟寺古钟博物馆属于公益一类事业单位，上级业务主管部门为北京市文物局。主要职能为文物征集、登编、修复、保管；收藏展览文物；博物馆研究、文物修复技术研究、收藏研究、文物宣传；文物信息网络建设，历史著作及图录编辑出版；普及历史知识，弘扬民族文化等。</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大钟寺古钟博物馆共设办公室、行保科、社教部、业务部、藏品部5个部门，无下属单位。</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31</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26</w:t>
      </w:r>
      <w:r>
        <w:rPr>
          <w:rFonts w:hint="eastAsia" w:ascii="仿宋_GB2312" w:eastAsia="仿宋_GB2312"/>
          <w:kern w:val="0"/>
          <w:sz w:val="28"/>
          <w:szCs w:val="28"/>
        </w:rPr>
        <w:t>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2539.22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678.46</w:t>
      </w:r>
      <w:r>
        <w:rPr>
          <w:rFonts w:hint="eastAsia" w:ascii="仿宋_GB2312" w:eastAsia="仿宋_GB2312"/>
          <w:sz w:val="28"/>
          <w:szCs w:val="28"/>
        </w:rPr>
        <w:t>万元，增长</w:t>
      </w:r>
      <w:r>
        <w:rPr>
          <w:rFonts w:hint="eastAsia" w:ascii="仿宋_GB2312" w:eastAsia="仿宋_GB2312"/>
          <w:sz w:val="28"/>
          <w:szCs w:val="28"/>
          <w:lang w:val="en-US" w:eastAsia="zh-CN"/>
        </w:rPr>
        <w:t>36.46</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2454.49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593.73</w:t>
      </w:r>
      <w:r>
        <w:rPr>
          <w:rFonts w:hint="eastAsia" w:ascii="仿宋_GB2312" w:eastAsia="仿宋_GB2312"/>
          <w:sz w:val="28"/>
          <w:szCs w:val="28"/>
        </w:rPr>
        <w:t>万元，增长</w:t>
      </w:r>
      <w:r>
        <w:rPr>
          <w:rFonts w:hint="eastAsia" w:ascii="仿宋_GB2312" w:eastAsia="仿宋_GB2312"/>
          <w:sz w:val="28"/>
          <w:szCs w:val="28"/>
          <w:lang w:val="en-US" w:eastAsia="zh-CN"/>
        </w:rPr>
        <w:t>31.91</w:t>
      </w:r>
      <w:r>
        <w:rPr>
          <w:rFonts w:hint="eastAsia" w:ascii="仿宋_GB2312" w:eastAsia="仿宋_GB2312"/>
          <w:sz w:val="28"/>
          <w:szCs w:val="28"/>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2387.34</w:t>
      </w:r>
      <w:r>
        <w:rPr>
          <w:rFonts w:hint="eastAsia" w:ascii="仿宋_GB2312" w:eastAsia="仿宋_GB2312"/>
          <w:sz w:val="28"/>
          <w:szCs w:val="28"/>
        </w:rPr>
        <w:t>万元，占收入合计的</w:t>
      </w:r>
      <w:r>
        <w:rPr>
          <w:rFonts w:hint="eastAsia" w:ascii="仿宋_GB2312" w:eastAsia="仿宋_GB2312"/>
          <w:sz w:val="28"/>
          <w:szCs w:val="28"/>
          <w:lang w:eastAsia="zh-CN"/>
        </w:rPr>
        <w:t>97.26</w:t>
      </w:r>
      <w:r>
        <w:rPr>
          <w:rFonts w:hint="eastAsia" w:ascii="仿宋_GB2312" w:eastAsia="仿宋_GB2312"/>
          <w:sz w:val="28"/>
          <w:szCs w:val="28"/>
        </w:rPr>
        <w:t>%。其中：一般公共预算财政拨款收入</w:t>
      </w:r>
      <w:r>
        <w:rPr>
          <w:rFonts w:ascii="仿宋_GB2312" w:eastAsia="仿宋_GB2312"/>
          <w:sz w:val="28"/>
          <w:szCs w:val="28"/>
        </w:rPr>
        <w:t>2387.34</w:t>
      </w:r>
      <w:r>
        <w:rPr>
          <w:rFonts w:hint="eastAsia" w:ascii="仿宋_GB2312" w:eastAsia="仿宋_GB2312"/>
          <w:sz w:val="28"/>
          <w:szCs w:val="28"/>
        </w:rPr>
        <w:t>万元，占收入合计的</w:t>
      </w:r>
      <w:r>
        <w:rPr>
          <w:rFonts w:hint="eastAsia" w:ascii="仿宋_GB2312" w:eastAsia="仿宋_GB2312"/>
          <w:sz w:val="28"/>
          <w:szCs w:val="28"/>
          <w:lang w:eastAsia="zh-CN"/>
        </w:rPr>
        <w:t>97.26</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55.33</w:t>
      </w:r>
      <w:r>
        <w:rPr>
          <w:rFonts w:hint="eastAsia" w:ascii="仿宋_GB2312" w:eastAsia="仿宋_GB2312"/>
          <w:sz w:val="28"/>
          <w:szCs w:val="28"/>
        </w:rPr>
        <w:t>万元，占收入合计的</w:t>
      </w:r>
      <w:r>
        <w:rPr>
          <w:rFonts w:hint="eastAsia" w:ascii="仿宋_GB2312" w:eastAsia="仿宋_GB2312"/>
          <w:sz w:val="28"/>
          <w:szCs w:val="28"/>
          <w:lang w:eastAsia="zh-CN"/>
        </w:rPr>
        <w:t>2.2</w:t>
      </w:r>
      <w:r>
        <w:rPr>
          <w:rFonts w:hint="eastAsia" w:ascii="仿宋_GB2312" w:eastAsia="仿宋_GB2312"/>
          <w:sz w:val="28"/>
          <w:szCs w:val="28"/>
          <w:lang w:val="en-US" w:eastAsia="zh-CN"/>
        </w:rPr>
        <w:t>6</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cs="Droid Sans"/>
          <w:color w:val="000000"/>
          <w:sz w:val="32"/>
          <w:szCs w:val="32"/>
        </w:rPr>
      </w:pPr>
      <w:r>
        <w:rPr>
          <w:rFonts w:hint="eastAsia" w:ascii="仿宋_GB2312" w:eastAsia="仿宋_GB2312"/>
          <w:sz w:val="28"/>
          <w:szCs w:val="28"/>
        </w:rPr>
        <w:t>6.其他收入</w:t>
      </w:r>
      <w:r>
        <w:rPr>
          <w:rFonts w:ascii="仿宋_GB2312" w:eastAsia="仿宋_GB2312"/>
          <w:sz w:val="28"/>
          <w:szCs w:val="28"/>
        </w:rPr>
        <w:t>11.83</w:t>
      </w:r>
      <w:r>
        <w:rPr>
          <w:rFonts w:hint="eastAsia" w:ascii="仿宋_GB2312" w:eastAsia="仿宋_GB2312"/>
          <w:sz w:val="28"/>
          <w:szCs w:val="28"/>
        </w:rPr>
        <w:t>万元，占收入合计的</w:t>
      </w:r>
      <w:r>
        <w:rPr>
          <w:rFonts w:hint="eastAsia" w:ascii="仿宋_GB2312" w:eastAsia="仿宋_GB2312"/>
          <w:sz w:val="28"/>
          <w:szCs w:val="28"/>
          <w:lang w:eastAsia="zh-CN"/>
        </w:rPr>
        <w:t>0.48</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object>
          <v:shape id="_x0000_i1025" o:spt="75" type="#_x0000_t75" style="height:222.75pt;width:366.75pt;" o:ole="t" filled="f" o:preferrelative="t" stroked="f" coordsize="21600,21600">
            <v:path/>
            <v:fill on="f" focussize="0,0"/>
            <v:stroke on="f"/>
            <v:imagedata r:id="rId8" o:title=""/>
            <o:lock v:ext="edit" aspectratio="t"/>
            <w10:wrap type="none"/>
            <w10:anchorlock/>
          </v:shape>
          <o:OLEObject Type="Embed" ProgID="Excel.Chart.8" ShapeID="_x0000_i1025" DrawAspect="Content" ObjectID="_1468075725" r:id="rId7">
            <o:LockedField>false</o:LockedField>
          </o:OLEObject>
        </w:objec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2429.37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768.14</w:t>
      </w:r>
      <w:r>
        <w:rPr>
          <w:rFonts w:hint="eastAsia" w:ascii="仿宋_GB2312" w:eastAsia="仿宋_GB2312"/>
          <w:sz w:val="28"/>
          <w:szCs w:val="28"/>
        </w:rPr>
        <w:t>万元，增长</w:t>
      </w:r>
      <w:r>
        <w:rPr>
          <w:rFonts w:hint="eastAsia" w:ascii="仿宋_GB2312" w:eastAsia="仿宋_GB2312"/>
          <w:sz w:val="28"/>
          <w:szCs w:val="28"/>
          <w:lang w:val="en-US" w:eastAsia="zh-CN"/>
        </w:rPr>
        <w:t>46.24</w:t>
      </w:r>
      <w:r>
        <w:rPr>
          <w:rFonts w:hint="eastAsia" w:ascii="仿宋_GB2312" w:eastAsia="仿宋_GB2312"/>
          <w:sz w:val="28"/>
          <w:szCs w:val="28"/>
        </w:rPr>
        <w:t>%%，其中：基本支出</w:t>
      </w:r>
      <w:r>
        <w:rPr>
          <w:rFonts w:ascii="仿宋_GB2312" w:eastAsia="仿宋_GB2312"/>
          <w:sz w:val="28"/>
          <w:szCs w:val="28"/>
        </w:rPr>
        <w:t>1609.73</w:t>
      </w:r>
      <w:r>
        <w:rPr>
          <w:rFonts w:hint="eastAsia" w:ascii="仿宋_GB2312" w:eastAsia="仿宋_GB2312"/>
          <w:sz w:val="28"/>
          <w:szCs w:val="28"/>
        </w:rPr>
        <w:t>万元，占支出合计的</w:t>
      </w:r>
      <w:r>
        <w:rPr>
          <w:rFonts w:hint="eastAsia" w:ascii="仿宋_GB2312" w:eastAsia="仿宋_GB2312"/>
          <w:sz w:val="28"/>
          <w:szCs w:val="28"/>
          <w:lang w:eastAsia="zh-CN"/>
        </w:rPr>
        <w:t>66.26</w:t>
      </w:r>
      <w:r>
        <w:rPr>
          <w:rFonts w:hint="eastAsia" w:ascii="仿宋_GB2312" w:eastAsia="仿宋_GB2312"/>
          <w:sz w:val="28"/>
          <w:szCs w:val="28"/>
        </w:rPr>
        <w:t>%；项目支出</w:t>
      </w:r>
      <w:r>
        <w:rPr>
          <w:rFonts w:ascii="仿宋_GB2312" w:eastAsia="仿宋_GB2312"/>
          <w:sz w:val="28"/>
          <w:szCs w:val="28"/>
        </w:rPr>
        <w:t>819.63</w:t>
      </w:r>
      <w:r>
        <w:rPr>
          <w:rFonts w:hint="eastAsia" w:ascii="仿宋_GB2312" w:eastAsia="仿宋_GB2312"/>
          <w:sz w:val="28"/>
          <w:szCs w:val="28"/>
        </w:rPr>
        <w:t>万元，占支出合计的</w:t>
      </w:r>
      <w:r>
        <w:rPr>
          <w:rFonts w:hint="eastAsia" w:ascii="仿宋_GB2312" w:eastAsia="仿宋_GB2312"/>
          <w:sz w:val="28"/>
          <w:szCs w:val="28"/>
          <w:lang w:eastAsia="zh-CN"/>
        </w:rPr>
        <w:t>33.7</w:t>
      </w:r>
      <w:r>
        <w:rPr>
          <w:rFonts w:hint="eastAsia" w:ascii="仿宋_GB2312" w:eastAsia="仿宋_GB2312"/>
          <w:sz w:val="28"/>
          <w:szCs w:val="28"/>
          <w:lang w:val="en-US" w:eastAsia="zh-CN"/>
        </w:rPr>
        <w:t>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object>
          <v:shape id="_x0000_i1026" o:spt="75" type="#_x0000_t75" style="height:215.6pt;width:355pt;" o:ole="t" filled="f" o:preferrelative="t" stroked="f" coordsize="21600,21600">
            <v:path/>
            <v:fill on="f" focussize="0,0"/>
            <v:stroke on="f"/>
            <v:imagedata r:id="rId10" o:title=""/>
            <o:lock v:ext="edit" aspectratio="t"/>
            <w10:wrap type="none"/>
            <w10:anchorlock/>
          </v:shape>
          <o:OLEObject Type="Embed" ProgID="Excel.Chart.8" ShapeID="_x0000_i1026" DrawAspect="Content" ObjectID="_1468075726" r:id="rId9">
            <o:LockedField>false</o:LockedField>
          </o:OLEObject>
        </w:objec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2472.06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color w:val="auto"/>
          <w:sz w:val="28"/>
          <w:szCs w:val="28"/>
          <w:lang w:val="en-US" w:eastAsia="zh-CN"/>
        </w:rPr>
        <w:t>657.80</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36.26</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我馆东路及办公区域建成年代久远，存在供暖管道地下长期渗漏、地下消防栓、给排水管道严重锈蚀老化、电路载荷不能满足日常需求等问题，2023年申请经费对大钟寺古钟博物馆保护范围内进行供暖、供水、排水、电路等设备管线进行升级改造，以保障正常供暖，保障文物古建及周边人员安全</w:t>
      </w:r>
      <w:r>
        <w:rPr>
          <w:rFonts w:hint="eastAsia" w:ascii="仿宋_GB2312" w:eastAsia="仿宋_GB2312"/>
          <w:color w:val="auto"/>
          <w:sz w:val="28"/>
          <w:szCs w:val="28"/>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2418.23</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0.82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0.01</w:t>
      </w:r>
      <w:r>
        <w:rPr>
          <w:rFonts w:hint="eastAsia" w:ascii="仿宋_GB2312" w:eastAsia="仿宋_GB2312"/>
          <w:sz w:val="28"/>
          <w:szCs w:val="28"/>
        </w:rPr>
        <w:t>%；文化旅游体育与传媒支出</w:t>
      </w:r>
      <w:r>
        <w:rPr>
          <w:rFonts w:hint="eastAsia" w:ascii="仿宋_GB2312" w:eastAsia="仿宋_GB2312"/>
          <w:sz w:val="28"/>
          <w:szCs w:val="28"/>
          <w:lang w:val="en-US" w:eastAsia="zh-CN"/>
        </w:rPr>
        <w:t>2367.33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95.98</w:t>
      </w:r>
      <w:r>
        <w:rPr>
          <w:rFonts w:hint="eastAsia" w:ascii="仿宋_GB2312" w:eastAsia="仿宋_GB2312"/>
          <w:sz w:val="28"/>
          <w:szCs w:val="28"/>
        </w:rPr>
        <w:t>%；社会保障和就业支出</w:t>
      </w:r>
      <w:r>
        <w:rPr>
          <w:rFonts w:hint="eastAsia" w:ascii="仿宋_GB2312" w:eastAsia="仿宋_GB2312"/>
          <w:sz w:val="28"/>
          <w:szCs w:val="28"/>
          <w:lang w:val="en-US" w:eastAsia="zh-CN"/>
        </w:rPr>
        <w:t>50.08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4.01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0.82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0.46</w:t>
      </w:r>
      <w:r>
        <w:rPr>
          <w:rFonts w:hint="eastAsia" w:ascii="仿宋_GB2312" w:eastAsia="仿宋_GB2312"/>
          <w:sz w:val="28"/>
          <w:szCs w:val="28"/>
        </w:rPr>
        <w:t>万元，下降</w:t>
      </w:r>
      <w:r>
        <w:rPr>
          <w:rFonts w:hint="eastAsia" w:ascii="仿宋_GB2312" w:eastAsia="仿宋_GB2312"/>
          <w:sz w:val="28"/>
          <w:szCs w:val="28"/>
          <w:lang w:val="en-US" w:eastAsia="zh-CN"/>
        </w:rPr>
        <w:t>36.02</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hAnsi="Times New Roman" w:eastAsia="仿宋_GB2312" w:cs="Times New Roman"/>
          <w:sz w:val="28"/>
          <w:szCs w:val="28"/>
        </w:rPr>
        <w:t>进修及培训</w:t>
      </w:r>
      <w:r>
        <w:rPr>
          <w:rFonts w:hint="eastAsia" w:ascii="仿宋_GB2312" w:eastAsia="仿宋_GB2312"/>
          <w:sz w:val="28"/>
          <w:szCs w:val="28"/>
        </w:rPr>
        <w:t>”（款，下同）202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0.82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0.46</w:t>
      </w:r>
      <w:r>
        <w:rPr>
          <w:rFonts w:hint="eastAsia" w:ascii="仿宋_GB2312" w:eastAsia="仿宋_GB2312"/>
          <w:sz w:val="28"/>
          <w:szCs w:val="28"/>
        </w:rPr>
        <w:t>万元，下降</w:t>
      </w:r>
      <w:r>
        <w:rPr>
          <w:rFonts w:hint="eastAsia" w:ascii="仿宋_GB2312" w:eastAsia="仿宋_GB2312"/>
          <w:sz w:val="28"/>
          <w:szCs w:val="28"/>
          <w:lang w:val="en-US" w:eastAsia="zh-CN"/>
        </w:rPr>
        <w:t>36.02</w:t>
      </w:r>
      <w:r>
        <w:rPr>
          <w:rFonts w:hint="eastAsia" w:ascii="仿宋_GB2312" w:eastAsia="仿宋_GB2312"/>
          <w:sz w:val="28"/>
          <w:szCs w:val="28"/>
        </w:rPr>
        <w:t>%。主要原因：落实政府过紧日子的要求，厉行勤俭节约，压减</w:t>
      </w:r>
      <w:r>
        <w:rPr>
          <w:rFonts w:hint="eastAsia" w:ascii="仿宋_GB2312" w:eastAsia="仿宋_GB2312"/>
          <w:sz w:val="28"/>
          <w:szCs w:val="28"/>
          <w:lang w:val="en-US" w:eastAsia="zh-CN"/>
        </w:rPr>
        <w:t>培训</w:t>
      </w:r>
      <w:r>
        <w:rPr>
          <w:rFonts w:hint="eastAsia" w:ascii="仿宋_GB2312" w:eastAsia="仿宋_GB2312"/>
          <w:sz w:val="28"/>
          <w:szCs w:val="28"/>
        </w:rPr>
        <w:t>费支出。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2367.33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39.57</w:t>
      </w:r>
      <w:r>
        <w:rPr>
          <w:rFonts w:hint="eastAsia" w:ascii="仿宋_GB2312" w:eastAsia="仿宋_GB2312"/>
          <w:sz w:val="28"/>
          <w:szCs w:val="28"/>
        </w:rPr>
        <w:t>万元，下降</w:t>
      </w:r>
      <w:r>
        <w:rPr>
          <w:rFonts w:hint="eastAsia" w:ascii="仿宋_GB2312" w:eastAsia="仿宋_GB2312"/>
          <w:sz w:val="28"/>
          <w:szCs w:val="28"/>
          <w:lang w:val="en-US" w:eastAsia="zh-CN"/>
        </w:rPr>
        <w:t>1.64</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“文</w:t>
      </w:r>
      <w:r>
        <w:rPr>
          <w:rFonts w:hint="eastAsia" w:ascii="仿宋_GB2312" w:hAnsi="Times New Roman" w:eastAsia="仿宋_GB2312" w:cs="Times New Roman"/>
          <w:sz w:val="28"/>
          <w:szCs w:val="28"/>
        </w:rPr>
        <w:t>物</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2367.33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39.57</w:t>
      </w:r>
      <w:r>
        <w:rPr>
          <w:rFonts w:hint="eastAsia" w:ascii="仿宋_GB2312" w:eastAsia="仿宋_GB2312"/>
          <w:sz w:val="28"/>
          <w:szCs w:val="28"/>
        </w:rPr>
        <w:t>万元，下降</w:t>
      </w:r>
      <w:r>
        <w:rPr>
          <w:rFonts w:hint="eastAsia" w:ascii="仿宋_GB2312" w:eastAsia="仿宋_GB2312"/>
          <w:sz w:val="28"/>
          <w:szCs w:val="28"/>
          <w:lang w:val="en-US" w:eastAsia="zh-CN"/>
        </w:rPr>
        <w:t>1.64</w:t>
      </w:r>
      <w:r>
        <w:rPr>
          <w:rFonts w:hint="eastAsia" w:ascii="仿宋_GB2312" w:eastAsia="仿宋_GB2312"/>
          <w:sz w:val="28"/>
          <w:szCs w:val="28"/>
        </w:rPr>
        <w:t>%。主要原因：落实政府过紧日子的要求，厉行勤俭节约，压减</w:t>
      </w:r>
      <w:r>
        <w:rPr>
          <w:rFonts w:hint="eastAsia" w:ascii="仿宋_GB2312" w:eastAsia="仿宋_GB2312"/>
          <w:sz w:val="28"/>
          <w:szCs w:val="28"/>
          <w:lang w:val="en-US" w:eastAsia="zh-CN"/>
        </w:rPr>
        <w:t>公用经费</w:t>
      </w:r>
      <w:r>
        <w:rPr>
          <w:rFonts w:hint="eastAsia" w:ascii="仿宋_GB2312" w:eastAsia="仿宋_GB2312"/>
          <w:sz w:val="28"/>
          <w:szCs w:val="28"/>
        </w:rPr>
        <w:t>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50.08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21.76</w:t>
      </w:r>
      <w:r>
        <w:rPr>
          <w:rFonts w:hint="eastAsia" w:ascii="仿宋_GB2312" w:eastAsia="仿宋_GB2312"/>
          <w:sz w:val="28"/>
          <w:szCs w:val="28"/>
        </w:rPr>
        <w:t>万元，下降</w:t>
      </w:r>
      <w:r>
        <w:rPr>
          <w:rFonts w:hint="eastAsia" w:ascii="仿宋_GB2312" w:eastAsia="仿宋_GB2312"/>
          <w:sz w:val="28"/>
          <w:szCs w:val="28"/>
          <w:lang w:val="en-US" w:eastAsia="zh-CN"/>
        </w:rPr>
        <w:t>30.29</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w:t>
      </w:r>
      <w:r>
        <w:rPr>
          <w:rFonts w:hint="eastAsia" w:ascii="仿宋_GB2312" w:hAnsi="Times New Roman" w:eastAsia="仿宋_GB2312" w:cs="Times New Roman"/>
          <w:sz w:val="28"/>
          <w:szCs w:val="28"/>
        </w:rPr>
        <w:t>老支出</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50.08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21.76</w:t>
      </w:r>
      <w:r>
        <w:rPr>
          <w:rFonts w:hint="eastAsia" w:ascii="仿宋_GB2312" w:eastAsia="仿宋_GB2312"/>
          <w:sz w:val="28"/>
          <w:szCs w:val="28"/>
        </w:rPr>
        <w:t>万元，下降</w:t>
      </w:r>
      <w:r>
        <w:rPr>
          <w:rFonts w:hint="eastAsia" w:ascii="仿宋_GB2312" w:eastAsia="仿宋_GB2312"/>
          <w:sz w:val="28"/>
          <w:szCs w:val="28"/>
          <w:lang w:val="en-US" w:eastAsia="zh-CN"/>
        </w:rPr>
        <w:t>30.29</w:t>
      </w:r>
      <w:r>
        <w:rPr>
          <w:rFonts w:hint="eastAsia" w:ascii="仿宋_GB2312" w:eastAsia="仿宋_GB2312"/>
          <w:sz w:val="28"/>
          <w:szCs w:val="28"/>
        </w:rPr>
        <w:t>%。主要原因：</w:t>
      </w:r>
      <w:r>
        <w:rPr>
          <w:rFonts w:hint="eastAsia" w:ascii="仿宋_GB2312" w:eastAsia="仿宋_GB2312"/>
          <w:sz w:val="28"/>
          <w:szCs w:val="28"/>
          <w:lang w:val="en-US" w:eastAsia="zh-CN"/>
        </w:rPr>
        <w:t>2023年一位离休老干部去世，结余部分离休费</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1598.6</w:t>
      </w:r>
      <w:r>
        <w:rPr>
          <w:rFonts w:hint="eastAsia" w:ascii="仿宋_GB2312" w:eastAsia="仿宋_GB2312"/>
          <w:sz w:val="28"/>
          <w:szCs w:val="28"/>
          <w:lang w:val="en-US" w:eastAsia="zh-CN"/>
        </w:rPr>
        <w:t>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事业单位。2023年度“三公”经费财政拨款决算数</w:t>
      </w:r>
      <w:r>
        <w:rPr>
          <w:rFonts w:ascii="仿宋_GB2312" w:eastAsia="仿宋_GB2312"/>
          <w:sz w:val="28"/>
          <w:szCs w:val="28"/>
        </w:rPr>
        <w:t>0.74</w:t>
      </w:r>
      <w:r>
        <w:rPr>
          <w:rFonts w:hint="eastAsia" w:ascii="仿宋_GB2312" w:eastAsia="仿宋_GB2312"/>
          <w:sz w:val="28"/>
          <w:szCs w:val="28"/>
        </w:rPr>
        <w:t>万元，比2023年度“三公”经费财政拨款年初预算</w:t>
      </w:r>
      <w:r>
        <w:rPr>
          <w:rFonts w:ascii="仿宋_GB2312" w:eastAsia="仿宋_GB2312"/>
          <w:sz w:val="28"/>
          <w:szCs w:val="28"/>
        </w:rPr>
        <w:t>5.48</w:t>
      </w:r>
      <w:r>
        <w:rPr>
          <w:rFonts w:hint="eastAsia" w:ascii="仿宋_GB2312" w:eastAsia="仿宋_GB2312"/>
          <w:sz w:val="28"/>
          <w:szCs w:val="28"/>
        </w:rPr>
        <w:t>万元减少</w:t>
      </w:r>
      <w:r>
        <w:rPr>
          <w:rFonts w:ascii="仿宋_GB2312" w:eastAsia="仿宋_GB2312"/>
          <w:sz w:val="28"/>
          <w:szCs w:val="28"/>
        </w:rPr>
        <w:t>4.74</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万元。主要原因：未安排因公出国（境）活动；2023年度组织因公出国（境）团组</w:t>
      </w:r>
      <w:r>
        <w:rPr>
          <w:rFonts w:hint="eastAsia" w:ascii="仿宋_GB2312" w:eastAsia="仿宋_GB2312"/>
          <w:sz w:val="28"/>
          <w:szCs w:val="28"/>
          <w:lang w:val="en-US" w:eastAsia="zh-CN"/>
        </w:rPr>
        <w:t>0</w:t>
      </w:r>
      <w:r>
        <w:rPr>
          <w:rFonts w:hint="eastAsia" w:ascii="仿宋_GB2312" w:eastAsia="仿宋_GB2312"/>
          <w:sz w:val="28"/>
          <w:szCs w:val="28"/>
        </w:rPr>
        <w:t>个、</w:t>
      </w:r>
      <w:r>
        <w:rPr>
          <w:rFonts w:hint="eastAsia" w:ascii="仿宋_GB2312" w:eastAsia="仿宋_GB2312"/>
          <w:sz w:val="28"/>
          <w:szCs w:val="28"/>
          <w:lang w:val="en-US" w:eastAsia="zh-CN"/>
        </w:rPr>
        <w:t>0</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0.48</w:t>
      </w:r>
      <w:r>
        <w:rPr>
          <w:rFonts w:hint="eastAsia" w:ascii="仿宋_GB2312" w:eastAsia="仿宋_GB2312"/>
          <w:sz w:val="28"/>
          <w:szCs w:val="28"/>
        </w:rPr>
        <w:t>万元减少</w:t>
      </w:r>
      <w:r>
        <w:rPr>
          <w:rFonts w:ascii="仿宋_GB2312" w:eastAsia="仿宋_GB2312"/>
          <w:sz w:val="28"/>
          <w:szCs w:val="28"/>
        </w:rPr>
        <w:t>0.48</w:t>
      </w:r>
      <w:r>
        <w:rPr>
          <w:rFonts w:hint="eastAsia" w:ascii="仿宋_GB2312" w:eastAsia="仿宋_GB2312"/>
          <w:sz w:val="28"/>
          <w:szCs w:val="28"/>
        </w:rPr>
        <w:t>万元。主要原因：本年度未发生公务接待活动。公务接待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w:t>
      </w:r>
      <w:r>
        <w:rPr>
          <w:rFonts w:ascii="仿宋_GB2312" w:eastAsia="仿宋_GB2312"/>
          <w:sz w:val="28"/>
          <w:szCs w:val="28"/>
        </w:rPr>
        <w:t>0.7</w:t>
      </w:r>
      <w:r>
        <w:rPr>
          <w:rFonts w:hint="eastAsia" w:ascii="仿宋_GB2312" w:eastAsia="仿宋_GB2312"/>
          <w:sz w:val="28"/>
          <w:szCs w:val="28"/>
          <w:lang w:val="en-US" w:eastAsia="zh-CN"/>
        </w:rPr>
        <w:t>4</w:t>
      </w:r>
      <w:r>
        <w:rPr>
          <w:rFonts w:hint="eastAsia" w:ascii="仿宋_GB2312" w:eastAsia="仿宋_GB2312"/>
          <w:sz w:val="28"/>
          <w:szCs w:val="28"/>
        </w:rPr>
        <w:t>万元，比2023年度年初预算数</w:t>
      </w:r>
      <w:r>
        <w:rPr>
          <w:rFonts w:ascii="仿宋_GB2312" w:eastAsia="仿宋_GB2312"/>
          <w:sz w:val="28"/>
          <w:szCs w:val="28"/>
        </w:rPr>
        <w:t>5</w:t>
      </w:r>
      <w:r>
        <w:rPr>
          <w:rFonts w:hint="eastAsia" w:ascii="仿宋_GB2312" w:eastAsia="仿宋_GB2312"/>
          <w:sz w:val="28"/>
          <w:szCs w:val="28"/>
        </w:rPr>
        <w:t>万元减少</w:t>
      </w:r>
      <w:r>
        <w:rPr>
          <w:rFonts w:hint="eastAsia" w:ascii="仿宋_GB2312" w:eastAsia="仿宋_GB2312"/>
          <w:sz w:val="28"/>
          <w:szCs w:val="28"/>
          <w:lang w:val="en-US" w:eastAsia="zh-CN"/>
        </w:rPr>
        <w:t>4.26万元</w:t>
      </w:r>
      <w:r>
        <w:rPr>
          <w:rFonts w:hint="eastAsia" w:ascii="仿宋_GB2312" w:eastAsia="仿宋_GB2312"/>
          <w:sz w:val="28"/>
          <w:szCs w:val="28"/>
        </w:rPr>
        <w:t>。</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万元。主要原因：无公务用车购置计划</w:t>
      </w:r>
      <w:r>
        <w:rPr>
          <w:rFonts w:hint="eastAsia" w:ascii="仿宋_GB2312" w:eastAsia="仿宋_GB2312"/>
          <w:sz w:val="28"/>
          <w:szCs w:val="28"/>
          <w:lang w:eastAsia="zh-CN"/>
        </w:rPr>
        <w:t>。</w:t>
      </w:r>
      <w:r>
        <w:rPr>
          <w:rFonts w:hint="eastAsia" w:ascii="仿宋_GB2312" w:eastAsia="仿宋_GB2312"/>
          <w:sz w:val="28"/>
          <w:szCs w:val="28"/>
        </w:rPr>
        <w:t>2023年度购置（更新）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万元。公务用车运行维护费2023年度决算数</w:t>
      </w:r>
      <w:r>
        <w:rPr>
          <w:rFonts w:ascii="仿宋_GB2312" w:eastAsia="仿宋_GB2312"/>
          <w:sz w:val="28"/>
          <w:szCs w:val="28"/>
        </w:rPr>
        <w:t>0.74</w:t>
      </w:r>
      <w:r>
        <w:rPr>
          <w:rFonts w:hint="eastAsia" w:ascii="仿宋_GB2312" w:eastAsia="仿宋_GB2312"/>
          <w:sz w:val="28"/>
          <w:szCs w:val="28"/>
        </w:rPr>
        <w:t>万元，比2023年度年初预算数</w:t>
      </w:r>
      <w:r>
        <w:rPr>
          <w:rFonts w:ascii="仿宋_GB2312" w:eastAsia="仿宋_GB2312"/>
          <w:sz w:val="28"/>
          <w:szCs w:val="28"/>
        </w:rPr>
        <w:t>5</w:t>
      </w:r>
      <w:r>
        <w:rPr>
          <w:rFonts w:hint="eastAsia" w:ascii="仿宋_GB2312" w:eastAsia="仿宋_GB2312"/>
          <w:sz w:val="28"/>
          <w:szCs w:val="28"/>
        </w:rPr>
        <w:t>万元减少</w:t>
      </w:r>
      <w:r>
        <w:rPr>
          <w:rFonts w:ascii="仿宋_GB2312" w:eastAsia="仿宋_GB2312"/>
          <w:sz w:val="28"/>
          <w:szCs w:val="28"/>
        </w:rPr>
        <w:t>4.26</w:t>
      </w:r>
      <w:r>
        <w:rPr>
          <w:rFonts w:hint="eastAsia" w:ascii="仿宋_GB2312" w:eastAsia="仿宋_GB2312"/>
          <w:sz w:val="28"/>
          <w:szCs w:val="28"/>
        </w:rPr>
        <w:t>万元，主要原因：落实政府过紧日子的要求，厉行勤俭节约，压减公务用车运行维护费支出。2023年度公务用车运行维护费中，公务用车加油</w:t>
      </w:r>
      <w:r>
        <w:rPr>
          <w:rFonts w:hint="eastAsia" w:ascii="仿宋_GB2312" w:eastAsia="仿宋_GB2312"/>
          <w:sz w:val="28"/>
          <w:szCs w:val="28"/>
          <w:lang w:val="en-US" w:eastAsia="zh-CN"/>
        </w:rPr>
        <w:t>0.30</w:t>
      </w:r>
      <w:r>
        <w:rPr>
          <w:rFonts w:hint="eastAsia" w:ascii="仿宋_GB2312" w:eastAsia="仿宋_GB2312"/>
          <w:sz w:val="28"/>
          <w:szCs w:val="28"/>
        </w:rPr>
        <w:t>万元，公务用车维修</w:t>
      </w:r>
      <w:r>
        <w:rPr>
          <w:rFonts w:ascii="仿宋_GB2312" w:eastAsia="仿宋_GB2312"/>
          <w:sz w:val="28"/>
          <w:szCs w:val="28"/>
        </w:rPr>
        <w:t>0</w:t>
      </w:r>
      <w:r>
        <w:rPr>
          <w:rFonts w:hint="eastAsia" w:ascii="仿宋_GB2312" w:eastAsia="仿宋_GB2312"/>
          <w:sz w:val="28"/>
          <w:szCs w:val="28"/>
          <w:lang w:val="en-US" w:eastAsia="zh-CN"/>
        </w:rPr>
        <w:t>.34</w:t>
      </w:r>
      <w:r>
        <w:rPr>
          <w:rFonts w:hint="eastAsia" w:ascii="仿宋_GB2312" w:eastAsia="仿宋_GB2312"/>
          <w:sz w:val="28"/>
          <w:szCs w:val="28"/>
        </w:rPr>
        <w:t>万元，公务用车保险</w:t>
      </w:r>
      <w:r>
        <w:rPr>
          <w:rFonts w:ascii="仿宋_GB2312" w:eastAsia="仿宋_GB2312"/>
          <w:sz w:val="28"/>
          <w:szCs w:val="28"/>
        </w:rPr>
        <w:t>0</w:t>
      </w:r>
      <w:r>
        <w:rPr>
          <w:rFonts w:hint="eastAsia" w:ascii="仿宋_GB2312" w:eastAsia="仿宋_GB2312"/>
          <w:sz w:val="28"/>
          <w:szCs w:val="28"/>
        </w:rPr>
        <w:t>万元，公务用车其他支出</w:t>
      </w:r>
      <w:r>
        <w:rPr>
          <w:rFonts w:ascii="仿宋_GB2312" w:eastAsia="仿宋_GB2312"/>
          <w:sz w:val="28"/>
          <w:szCs w:val="28"/>
        </w:rPr>
        <w:t>0</w:t>
      </w:r>
      <w:r>
        <w:rPr>
          <w:rFonts w:hint="eastAsia" w:ascii="仿宋_GB2312" w:eastAsia="仿宋_GB2312"/>
          <w:sz w:val="28"/>
          <w:szCs w:val="28"/>
          <w:lang w:val="en-US" w:eastAsia="zh-CN"/>
        </w:rPr>
        <w:t>.10</w:t>
      </w:r>
      <w:r>
        <w:rPr>
          <w:rFonts w:hint="eastAsia" w:ascii="仿宋_GB2312" w:eastAsia="仿宋_GB2312"/>
          <w:sz w:val="28"/>
          <w:szCs w:val="28"/>
        </w:rPr>
        <w:t>万元。2023年度公务用车保有量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辆，车均运行维护费</w:t>
      </w:r>
      <w:r>
        <w:rPr>
          <w:rFonts w:hint="eastAsia" w:ascii="仿宋_GB2312" w:eastAsia="仿宋_GB2312"/>
          <w:sz w:val="28"/>
          <w:szCs w:val="28"/>
          <w:lang w:val="en-US" w:eastAsia="zh-CN"/>
        </w:rPr>
        <w:t>0.37</w:t>
      </w:r>
      <w:r>
        <w:rPr>
          <w:rFonts w:hint="eastAsia" w:ascii="仿宋_GB2312" w:eastAsia="仿宋_GB2312"/>
          <w:sz w:val="28"/>
          <w:szCs w:val="28"/>
        </w:rPr>
        <w:t>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我单位不在机关运行经费统计范围之内。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903.84</w:t>
      </w:r>
      <w:r>
        <w:rPr>
          <w:rFonts w:hint="eastAsia" w:ascii="仿宋_GB2312" w:eastAsia="仿宋_GB2312"/>
          <w:sz w:val="28"/>
          <w:szCs w:val="28"/>
        </w:rPr>
        <w:t>万元，其中：政府采购货物支出</w:t>
      </w:r>
      <w:r>
        <w:rPr>
          <w:rFonts w:ascii="仿宋_GB2312" w:eastAsia="仿宋_GB2312"/>
          <w:sz w:val="28"/>
          <w:szCs w:val="28"/>
        </w:rPr>
        <w:t>5.22</w:t>
      </w:r>
      <w:r>
        <w:rPr>
          <w:rFonts w:hint="eastAsia" w:ascii="仿宋_GB2312" w:eastAsia="仿宋_GB2312"/>
          <w:sz w:val="28"/>
          <w:szCs w:val="28"/>
        </w:rPr>
        <w:t>万元，政府采购工程支出</w:t>
      </w:r>
      <w:r>
        <w:rPr>
          <w:rFonts w:ascii="仿宋_GB2312" w:eastAsia="仿宋_GB2312"/>
          <w:sz w:val="28"/>
          <w:szCs w:val="28"/>
        </w:rPr>
        <w:t>149.8</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ascii="仿宋_GB2312" w:eastAsia="仿宋_GB2312"/>
          <w:sz w:val="28"/>
          <w:szCs w:val="28"/>
        </w:rPr>
        <w:t>748.82</w:t>
      </w:r>
      <w:r>
        <w:rPr>
          <w:rFonts w:hint="eastAsia" w:ascii="仿宋_GB2312" w:eastAsia="仿宋_GB2312"/>
          <w:sz w:val="28"/>
          <w:szCs w:val="28"/>
        </w:rPr>
        <w:t>万元。授予中小企业合同金额</w:t>
      </w:r>
      <w:r>
        <w:rPr>
          <w:rFonts w:ascii="仿宋_GB2312" w:eastAsia="仿宋_GB2312"/>
          <w:sz w:val="28"/>
          <w:szCs w:val="28"/>
        </w:rPr>
        <w:t>894.6</w:t>
      </w:r>
      <w:r>
        <w:rPr>
          <w:rFonts w:hint="eastAsia" w:ascii="仿宋_GB2312" w:eastAsia="仿宋_GB2312"/>
          <w:sz w:val="28"/>
          <w:szCs w:val="28"/>
        </w:rPr>
        <w:t>万元，占政府采购支出总额的</w:t>
      </w:r>
      <w:r>
        <w:rPr>
          <w:rFonts w:hint="eastAsia" w:ascii="仿宋_GB2312" w:eastAsia="仿宋_GB2312"/>
          <w:sz w:val="28"/>
          <w:szCs w:val="28"/>
          <w:lang w:eastAsia="zh-CN"/>
        </w:rPr>
        <w:t>98.97</w:t>
      </w:r>
      <w:r>
        <w:rPr>
          <w:rFonts w:hint="eastAsia" w:ascii="仿宋_GB2312" w:eastAsia="仿宋_GB2312"/>
          <w:sz w:val="28"/>
          <w:szCs w:val="28"/>
        </w:rPr>
        <w:t>%，其中：授予小微企业合同金额</w:t>
      </w:r>
      <w:r>
        <w:rPr>
          <w:rFonts w:ascii="仿宋_GB2312" w:eastAsia="仿宋_GB2312"/>
          <w:sz w:val="28"/>
          <w:szCs w:val="28"/>
        </w:rPr>
        <w:t>26.92</w:t>
      </w:r>
      <w:r>
        <w:rPr>
          <w:rFonts w:hint="eastAsia" w:ascii="仿宋_GB2312" w:eastAsia="仿宋_GB2312"/>
          <w:sz w:val="28"/>
          <w:szCs w:val="28"/>
        </w:rPr>
        <w:t>万元，占政府采购支出总额的</w:t>
      </w:r>
      <w:r>
        <w:rPr>
          <w:rFonts w:hint="eastAsia" w:ascii="仿宋_GB2312" w:eastAsia="仿宋_GB2312"/>
          <w:sz w:val="28"/>
          <w:szCs w:val="28"/>
          <w:lang w:eastAsia="zh-CN"/>
        </w:rPr>
        <w:t>2.97</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万元；新购置单位价值100万元（含）以上的设备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万元。截至12月31日，</w:t>
      </w:r>
      <w:r>
        <w:rPr>
          <w:rFonts w:hint="eastAsia" w:ascii="仿宋_GB2312" w:eastAsia="仿宋_GB2312"/>
          <w:sz w:val="28"/>
          <w:szCs w:val="28"/>
          <w:lang w:val="en-US" w:eastAsia="zh-CN"/>
        </w:rPr>
        <w:t>大钟寺古钟博物馆</w:t>
      </w:r>
      <w:r>
        <w:rPr>
          <w:rFonts w:hint="eastAsia" w:ascii="仿宋_GB2312" w:eastAsia="仿宋_GB2312"/>
          <w:sz w:val="28"/>
          <w:szCs w:val="28"/>
        </w:rPr>
        <w:t>共有车辆</w:t>
      </w:r>
      <w:r>
        <w:rPr>
          <w:rFonts w:hint="eastAsia" w:ascii="仿宋_GB2312" w:eastAsia="仿宋_GB2312"/>
          <w:sz w:val="28"/>
          <w:szCs w:val="28"/>
          <w:lang w:val="en-US" w:eastAsia="zh-CN"/>
        </w:rPr>
        <w:t>2</w:t>
      </w:r>
      <w:r>
        <w:rPr>
          <w:rFonts w:hint="eastAsia" w:ascii="仿宋_GB2312" w:eastAsia="仿宋_GB2312"/>
          <w:sz w:val="28"/>
          <w:szCs w:val="28"/>
        </w:rPr>
        <w:t>台，共计</w:t>
      </w:r>
      <w:r>
        <w:rPr>
          <w:rFonts w:hint="eastAsia" w:ascii="仿宋_GB2312" w:eastAsia="仿宋_GB2312"/>
          <w:sz w:val="28"/>
          <w:szCs w:val="28"/>
          <w:lang w:val="en-US" w:eastAsia="zh-CN"/>
        </w:rPr>
        <w:t>50.84</w:t>
      </w:r>
      <w:r>
        <w:rPr>
          <w:rFonts w:hint="eastAsia" w:ascii="仿宋_GB2312" w:eastAsia="仿宋_GB2312"/>
          <w:sz w:val="28"/>
          <w:szCs w:val="28"/>
        </w:rPr>
        <w:t>万元；单位价值100万元（含）以上的设备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本单位无此项支出。</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74" w:firstLineChars="150"/>
        <w:rPr>
          <w:rFonts w:hint="eastAsia" w:ascii="仿宋_GB2312" w:eastAsia="仿宋_GB2312"/>
          <w:sz w:val="28"/>
          <w:szCs w:val="28"/>
        </w:rPr>
      </w:pPr>
      <w:r>
        <w:rPr>
          <w:rFonts w:hint="eastAsia" w:ascii="仿宋_GB2312" w:eastAsia="仿宋_GB2312"/>
          <w:b w:val="0"/>
          <w:bCs/>
          <w:color w:val="000000"/>
          <w:spacing w:val="-2"/>
          <w:sz w:val="32"/>
          <w:szCs w:val="32"/>
        </w:rPr>
        <w:t>7.</w:t>
      </w:r>
      <w:r>
        <w:rPr>
          <w:rFonts w:hint="eastAsia" w:ascii="仿宋_GB2312" w:eastAsia="仿宋_GB2312"/>
          <w:sz w:val="28"/>
          <w:szCs w:val="28"/>
        </w:rPr>
        <w:t>当年使用的所有支出功能分类项级科目名词解释：</w:t>
      </w:r>
    </w:p>
    <w:p>
      <w:pPr>
        <w:ind w:firstLine="420" w:firstLineChars="150"/>
        <w:rPr>
          <w:rFonts w:hint="eastAsia" w:ascii="仿宋_GB2312" w:eastAsia="仿宋_GB2312"/>
          <w:sz w:val="28"/>
          <w:szCs w:val="28"/>
        </w:rPr>
      </w:pPr>
      <w:r>
        <w:rPr>
          <w:rFonts w:hint="eastAsia" w:ascii="仿宋_GB2312" w:eastAsia="仿宋_GB2312"/>
          <w:sz w:val="28"/>
          <w:szCs w:val="28"/>
        </w:rPr>
        <w:t>（1）教育支出（类）进修及培训（款）培训支出（项）：反映本单位安排的用于培训的支出。</w:t>
      </w:r>
    </w:p>
    <w:p>
      <w:pPr>
        <w:ind w:firstLine="420" w:firstLineChars="150"/>
        <w:rPr>
          <w:rFonts w:hint="eastAsia" w:ascii="仿宋_GB2312" w:eastAsia="仿宋_GB2312"/>
          <w:sz w:val="28"/>
          <w:szCs w:val="28"/>
        </w:rPr>
      </w:pPr>
      <w:r>
        <w:rPr>
          <w:rFonts w:hint="eastAsia" w:ascii="仿宋_GB2312" w:eastAsia="仿宋_GB2312"/>
          <w:sz w:val="28"/>
          <w:szCs w:val="28"/>
        </w:rPr>
        <w:t>（2）文化旅游体育与传媒支出（类）文化和旅游（款）其它文化和旅游支出（项）：反映用于其它文化和旅游方面的支出。</w:t>
      </w:r>
    </w:p>
    <w:p>
      <w:pPr>
        <w:ind w:firstLine="420" w:firstLineChars="150"/>
        <w:rPr>
          <w:rFonts w:hint="eastAsia" w:ascii="仿宋_GB2312" w:eastAsia="仿宋_GB2312"/>
          <w:sz w:val="28"/>
          <w:szCs w:val="28"/>
        </w:rPr>
      </w:pPr>
      <w:r>
        <w:rPr>
          <w:rFonts w:hint="eastAsia" w:ascii="仿宋_GB2312" w:eastAsia="仿宋_GB2312"/>
          <w:sz w:val="28"/>
          <w:szCs w:val="28"/>
        </w:rPr>
        <w:t>（3）文化旅游体育与传媒支出（类）文物（款）行政运行（项）：反映行政单位（包括实行公务员管理的事业单位）的基本支出。</w:t>
      </w:r>
    </w:p>
    <w:p>
      <w:pPr>
        <w:ind w:firstLine="420" w:firstLineChars="150"/>
        <w:rPr>
          <w:rFonts w:hint="eastAsia" w:ascii="仿宋_GB2312" w:eastAsia="仿宋_GB2312"/>
          <w:sz w:val="28"/>
          <w:szCs w:val="28"/>
        </w:rPr>
      </w:pPr>
      <w:r>
        <w:rPr>
          <w:rFonts w:hint="eastAsia" w:ascii="仿宋_GB2312" w:eastAsia="仿宋_GB2312"/>
          <w:sz w:val="28"/>
          <w:szCs w:val="28"/>
        </w:rPr>
        <w:t>（4）文化旅游体育与传媒支出（类）文物（款）文物保护（项）：反映考古发掘及文物保护方面的支出。</w:t>
      </w:r>
    </w:p>
    <w:p>
      <w:pPr>
        <w:ind w:firstLine="420" w:firstLineChars="150"/>
        <w:rPr>
          <w:rFonts w:hint="eastAsia" w:ascii="仿宋_GB2312" w:eastAsia="仿宋_GB2312"/>
          <w:sz w:val="28"/>
          <w:szCs w:val="28"/>
        </w:rPr>
      </w:pPr>
      <w:r>
        <w:rPr>
          <w:rFonts w:hint="eastAsia" w:ascii="仿宋_GB2312" w:eastAsia="仿宋_GB2312"/>
          <w:sz w:val="28"/>
          <w:szCs w:val="28"/>
        </w:rPr>
        <w:t>（5）文化旅游体育与传媒支出（类）文物（款）博物馆（项）：反映文物系统及其它部门所属博物馆、纪念馆方面的支出。</w:t>
      </w:r>
    </w:p>
    <w:p>
      <w:pPr>
        <w:ind w:firstLine="420" w:firstLineChars="150"/>
        <w:rPr>
          <w:rFonts w:hint="eastAsia" w:ascii="仿宋_GB2312" w:eastAsia="仿宋_GB2312"/>
          <w:sz w:val="28"/>
          <w:szCs w:val="28"/>
        </w:rPr>
      </w:pPr>
      <w:r>
        <w:rPr>
          <w:rFonts w:hint="eastAsia" w:ascii="仿宋_GB2312" w:eastAsia="仿宋_GB2312"/>
          <w:sz w:val="28"/>
          <w:szCs w:val="28"/>
        </w:rPr>
        <w:t>（6）文化旅游体育与传媒支出（类）文物（款）历史名城与古迹（项）：反映历史名城、世界遗产规划与古迹保护等方面的支出。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（7）文化旅游体育与传媒支出（类）文物（款）其他文物支出（项）：反映除上述项目以外其他用于文物方面的支出。</w:t>
      </w:r>
    </w:p>
    <w:p>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pPr>
        <w:ind w:firstLine="420" w:firstLineChars="150"/>
        <w:rPr>
          <w:rFonts w:hint="eastAsia" w:ascii="黑体" w:eastAsia="黑体"/>
          <w:sz w:val="32"/>
          <w:szCs w:val="32"/>
        </w:rPr>
      </w:pPr>
      <w:r>
        <w:rPr>
          <w:rFonts w:hint="eastAsia" w:ascii="仿宋_GB2312" w:eastAsia="仿宋_GB2312"/>
          <w:sz w:val="28"/>
          <w:szCs w:val="28"/>
        </w:rPr>
        <w:t>（10）社会保障和就业支出（类）行政事业单位养老支出（款）其它行政事业单位养老支出（项）：反映除上述项目以外用于行政事业单位养老方面的支出。</w:t>
      </w:r>
    </w:p>
    <w:p>
      <w:pPr>
        <w:rPr>
          <w:rFonts w:ascii="仿宋_GB2312" w:eastAsia="仿宋_GB2312"/>
          <w:sz w:val="28"/>
          <w:szCs w:val="28"/>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一、部门整体绩效评价报告</w:t>
      </w:r>
    </w:p>
    <w:p>
      <w:pPr>
        <w:ind w:firstLine="560" w:firstLineChars="200"/>
        <w:rPr>
          <w:rFonts w:hint="eastAsia" w:ascii="黑体" w:eastAsia="黑体"/>
          <w:sz w:val="28"/>
          <w:szCs w:val="28"/>
          <w:lang w:val="en-US" w:eastAsia="zh-CN"/>
        </w:rPr>
      </w:pPr>
      <w:r>
        <w:rPr>
          <w:rFonts w:hint="eastAsia" w:ascii="仿宋_GB2312" w:eastAsia="仿宋_GB2312"/>
          <w:sz w:val="28"/>
          <w:szCs w:val="28"/>
          <w:lang w:val="en-US" w:eastAsia="zh-CN"/>
        </w:rPr>
        <w:t>无。</w:t>
      </w:r>
    </w:p>
    <w:p>
      <w:pPr>
        <w:ind w:firstLine="560" w:firstLineChars="200"/>
        <w:rPr>
          <w:rFonts w:ascii="黑体" w:eastAsia="黑体"/>
          <w:sz w:val="28"/>
          <w:szCs w:val="28"/>
        </w:rPr>
      </w:pPr>
      <w:r>
        <w:rPr>
          <w:rFonts w:hint="eastAsia" w:ascii="黑体" w:eastAsia="黑体"/>
          <w:sz w:val="28"/>
          <w:szCs w:val="28"/>
        </w:rPr>
        <w:t>二、项目支出绩效评价报告</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无。</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tbl>
      <w:tblPr>
        <w:tblStyle w:val="10"/>
        <w:tblW w:w="142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8"/>
        <w:gridCol w:w="1298"/>
        <w:gridCol w:w="1300"/>
        <w:gridCol w:w="2070"/>
        <w:gridCol w:w="1570"/>
        <w:gridCol w:w="1370"/>
        <w:gridCol w:w="1370"/>
        <w:gridCol w:w="1270"/>
        <w:gridCol w:w="1170"/>
        <w:gridCol w:w="19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30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30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11000022T000000436137-大钟寺古钟博物馆“钟铃之声”系列文化体验活动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3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048018-大钟寺古钟博物馆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3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郑宇伟</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3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82139050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3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3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47.223500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46.523500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46.188929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99.28%</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3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47.223500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46.523500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46.188929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99.28%</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3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53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10"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760"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61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为进一步增强观众文化体验感，2023年拟开展“钟铃之声”系列文化体验活动，以提高大钟寺古钟博物馆及钟铃文化在高等院校、中小学</w:t>
            </w:r>
            <w:r>
              <w:rPr>
                <w:rFonts w:hint="eastAsia" w:ascii="宋体" w:hAnsi="宋体" w:cs="宋体"/>
                <w:i w:val="0"/>
                <w:iCs w:val="0"/>
                <w:color w:val="000000"/>
                <w:kern w:val="0"/>
                <w:sz w:val="20"/>
                <w:szCs w:val="20"/>
                <w:u w:val="none"/>
                <w:lang w:val="en-US" w:eastAsia="zh-CN" w:bidi="ar"/>
              </w:rPr>
              <w:t>以及</w:t>
            </w:r>
            <w:r>
              <w:rPr>
                <w:rFonts w:hint="eastAsia" w:ascii="宋体" w:hAnsi="宋体" w:eastAsia="宋体" w:cs="宋体"/>
                <w:i w:val="0"/>
                <w:iCs w:val="0"/>
                <w:color w:val="000000"/>
                <w:kern w:val="0"/>
                <w:sz w:val="20"/>
                <w:szCs w:val="20"/>
                <w:u w:val="none"/>
                <w:lang w:val="en-US" w:eastAsia="zh-CN" w:bidi="ar"/>
              </w:rPr>
              <w:t>周边社区的知名度和“钟铃之声”的品牌影响力。</w:t>
            </w:r>
          </w:p>
        </w:tc>
        <w:tc>
          <w:tcPr>
            <w:tcW w:w="576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为了进一步增强观众文化体验感，2023年我馆开展了“钟铃之声”系列文化体验活动，提高了大钟寺古钟博物馆及钟铃文化在高等院校、中小学以及周边社区的知名度和“钟铃之声”的品牌影响力。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开展培训班次</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≥4个</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相关的社教活动次数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≥30次</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46次</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媒体宣传次数</w:t>
            </w:r>
          </w:p>
        </w:tc>
        <w:tc>
          <w:tcPr>
            <w:tcW w:w="0" w:type="auto"/>
            <w:gridSpan w:val="2"/>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26次</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培训合格上岗率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86.00%</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社教活动验收合格率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项目按计划完成率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其他商品和服务支出</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≤9.3355万元</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8.530929万元</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≤47.2235万元</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46.188929万元</w:t>
            </w:r>
          </w:p>
        </w:tc>
        <w:tc>
          <w:tcPr>
            <w:tcW w:w="127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因按照《北京市财政局关于压减一般性支出全力支持防汛救灾和恢复重建工作的通知》要求，压减交回市财政0.7万元，专家费用、餐费、租车费用未花完，结余资金0.334571万元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委托业务费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≤28.53万元</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28.348万元</w:t>
            </w:r>
          </w:p>
        </w:tc>
        <w:tc>
          <w:tcPr>
            <w:tcW w:w="127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印刷费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≤8.17万元</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8.17万元</w:t>
            </w:r>
          </w:p>
        </w:tc>
        <w:tc>
          <w:tcPr>
            <w:tcW w:w="127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劳务费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≤1.18万元</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1.14万元</w:t>
            </w:r>
          </w:p>
        </w:tc>
        <w:tc>
          <w:tcPr>
            <w:tcW w:w="127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个别专家费未支出，节约0.04万元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展览观众投诉次数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≤5次</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偏差原因分析：观众仍有投诉的情况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改进措施：进一步提高工作人员的服务态度，合理摆放物品位置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增强观众的文化体验感，提升“钟铃之声”的品牌影响力</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得到提升</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增强了观众的文化体验感，提升了“钟铃之声”的品牌影响力</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13.00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参观群众满意度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8.60 </w:t>
            </w:r>
          </w:p>
        </w:tc>
        <w:tc>
          <w:tcPr>
            <w:tcW w:w="19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偏差原因分析：满意度调查样本量偏低，未开展满意度分析工作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910"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95.03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bl>
    <w:p>
      <w:pPr>
        <w:ind w:firstLine="560" w:firstLineChars="200"/>
        <w:rPr>
          <w:rFonts w:hint="eastAsia" w:ascii="黑体" w:hAnsi="Times New Roman" w:eastAsia="黑体" w:cs="Times New Roman"/>
          <w:sz w:val="28"/>
          <w:szCs w:val="28"/>
          <w:lang w:eastAsia="zh-CN"/>
        </w:rPr>
      </w:pPr>
    </w:p>
    <w:tbl>
      <w:tblPr>
        <w:tblStyle w:val="10"/>
        <w:tblW w:w="139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0"/>
        <w:gridCol w:w="1305"/>
        <w:gridCol w:w="1305"/>
        <w:gridCol w:w="2145"/>
        <w:gridCol w:w="1575"/>
        <w:gridCol w:w="1365"/>
        <w:gridCol w:w="1365"/>
        <w:gridCol w:w="1275"/>
        <w:gridCol w:w="1170"/>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390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390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11000022T000000436956-大钟寺古钟博物馆馆藏文物研究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91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048018-大钟寺古钟博物馆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程呈</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391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13120202099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54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22.262854 </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21.446854 </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20.130823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93.86%</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22.262854 </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21.446854 </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20.130823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93.86%</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95"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280"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69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根据《北京市文物局科研课题管理办法》以及2023年大钟寺古钟博物馆馆藏文物研究项目包括的三个课题立项申请书，开展对于钟铃文化、钟铃文物保护、祈雨祭祀文化的研究工作，撰写《铁质文物无眩光封护材料研究课题》《永乐大钟铭文排布关系及文化内涵研究》《觉生寺祭坛祈雨研究》三篇研究成果，从而填补博物馆在钟铃文化、钟铃文物保护、祈雨祭祀文化等研究的空白，为馆藏文物研究、保护、利用奠定重要基础。</w:t>
            </w:r>
          </w:p>
        </w:tc>
        <w:tc>
          <w:tcPr>
            <w:tcW w:w="528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开展对于钟铃文化、钟铃文物保护、祈雨祭祀文化的研究工作，撰写了《铁质文物无眩光封护材料研究课题》《永乐大钟铭文排布关系及文化内涵研究》《觉生寺祭坛祈雨研究》三篇研究成果，从而填补博物馆在钟铃文化、钟铃文物保护、祈雨祭祀文化等研究的空白，为馆藏文物研究、保护、利用奠定重要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专题研究报告数量</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≥3篇</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3篇</w:t>
            </w:r>
          </w:p>
        </w:tc>
        <w:tc>
          <w:tcPr>
            <w:tcW w:w="127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研究课题评审合格率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研究课题按时结题率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≤22.262854万元</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20.130823万元</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按照《北京市财政局关于压减一般性支出全力支持防汛救灾和恢复重建工作的通知》要求，压减交回市财政0.816万元，因交通费未花完产生结余1.316031万元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对博物馆历史建筑、文物保护及利用提供好的参考价值和借鉴意义</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对博物馆历史建筑、文物保护及利用提供了参考和借鉴</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对博物馆展览、研究提供学术支撑高</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对博物馆展览、研究提供了学术支撑</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14.25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课题成果使用主体满意度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偏差原因分析：满意度调查样本量偏低，未开展满意度分析工作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改进措施：今后将深入开展满意度调查分析工作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990"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95.14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bl>
    <w:p>
      <w:pPr>
        <w:pStyle w:val="2"/>
        <w:rPr>
          <w:rFonts w:hint="eastAsia"/>
          <w:lang w:eastAsia="zh-CN"/>
        </w:rPr>
      </w:pPr>
    </w:p>
    <w:tbl>
      <w:tblPr>
        <w:tblStyle w:val="10"/>
        <w:tblW w:w="139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0"/>
        <w:gridCol w:w="1305"/>
        <w:gridCol w:w="1305"/>
        <w:gridCol w:w="2145"/>
        <w:gridCol w:w="1575"/>
        <w:gridCol w:w="1365"/>
        <w:gridCol w:w="1365"/>
        <w:gridCol w:w="1275"/>
        <w:gridCol w:w="1170"/>
        <w:gridCol w:w="1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390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390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11000022T000000437240-大钟寺网络维护及使用项目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91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048018-大钟寺古钟博物馆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张颖玉</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391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82130375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54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18.360000 </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18.360000 </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18.360000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18.360000 </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18.360000 </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18.360000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95"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280"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69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根据博物馆内工作需要，拟开展大钟寺网络维护及使用项目，以确保大钟寺古钟博物馆2023年接入和使用互联网的正常，以保障网络正常运行，保障日常办公。</w:t>
            </w:r>
          </w:p>
        </w:tc>
        <w:tc>
          <w:tcPr>
            <w:tcW w:w="528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通过开展大钟寺网络维护相关工作，确保了大钟寺古钟博物馆2023年接入和使用，保障了网络正常运行，满足了日常办公需求。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维护次数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≥48次</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49次</w:t>
            </w:r>
          </w:p>
        </w:tc>
        <w:tc>
          <w:tcPr>
            <w:tcW w:w="127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网络运行稳定率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稳定运行</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大钟寺网络保障时效</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27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restart"/>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邮电费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≤8.28万元</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8.28万元</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≤18.36万元</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18.36万元</w:t>
            </w:r>
          </w:p>
        </w:tc>
        <w:tc>
          <w:tcPr>
            <w:tcW w:w="127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17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信息化运维费</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≤10.08万元</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10.08万元</w:t>
            </w:r>
          </w:p>
        </w:tc>
        <w:tc>
          <w:tcPr>
            <w:tcW w:w="127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17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日常办公用网需要保障率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满足了日常办公网络需求</w:t>
            </w:r>
          </w:p>
        </w:tc>
        <w:tc>
          <w:tcPr>
            <w:tcW w:w="127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25.50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 </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偏差原因分析：满意度调查样本量偏低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9990"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bl>
    <w:p>
      <w:pPr>
        <w:ind w:firstLine="560" w:firstLineChars="200"/>
        <w:rPr>
          <w:rFonts w:hint="eastAsia" w:ascii="黑体" w:hAnsi="Times New Roman" w:eastAsia="黑体" w:cs="Times New Roman"/>
          <w:sz w:val="28"/>
          <w:szCs w:val="28"/>
          <w:lang w:eastAsia="zh-CN"/>
        </w:rPr>
      </w:pPr>
    </w:p>
    <w:tbl>
      <w:tblPr>
        <w:tblStyle w:val="10"/>
        <w:tblW w:w="148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9"/>
        <w:gridCol w:w="1305"/>
        <w:gridCol w:w="1305"/>
        <w:gridCol w:w="2145"/>
        <w:gridCol w:w="1575"/>
        <w:gridCol w:w="1365"/>
        <w:gridCol w:w="1455"/>
        <w:gridCol w:w="1275"/>
        <w:gridCol w:w="1170"/>
        <w:gridCol w:w="23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836"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836"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11000023T000002053616-大钟寺消防（电路升级）改造工程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75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048018-大钟寺古钟博物馆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欧阳鑫</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75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13811225266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54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187.994558 </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184.565587 </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184.506785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99.97%</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187.994558 </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184.565587</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184.506785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99.97%</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95"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211"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69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为保障博物馆内正常用电，减少超负荷用电对文物古建带来的安全隐患，我单位特申请于2023年度在大钟寺古钟博物馆保护范围内进行大钟寺电气改造工程项目建设。</w:t>
            </w:r>
          </w:p>
        </w:tc>
        <w:tc>
          <w:tcPr>
            <w:tcW w:w="621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通过开展大钟寺消防（电路升级）改造工程工作，本次工程进行了电气增容改造及敷设电缆，完工验收后满足了博物馆的用电需求，确保博物馆的用电安全。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9"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改造电路长度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≥252米</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288米</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专家验收合格率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05"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2023年完成项目总结时间</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8月</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本工程与《大钟寺室外设备管线改造工程》共用综合管沟，开工后因7月20日-9月2日北京持续降雨，施工区域与古建筑墙体距离过近，无法保证文物本体安全，博物馆中秋、十一期间需举办活动，以及初验完毕后，进行暖气管道打压试水工作，故延期至12月完成验收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改进措施：以后加强项目计划编制的合理性及风险预估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6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2023年完成项目实施时间</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5月</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偏差原因分析：我单位于2023年5月9日收到北京市文物局复函立即启动工程开工前程序，于2023年7月20日开工，12月完成项目实施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改进措施：以后加强项目计划编制的合理性及风险预估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2023年完成项目立项时间</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5"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施工分项成本控制数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≤146.907215万元</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149.741198万元</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偏差原因分析：支出金额包括财政评审报告中竣工图编制费及使用预备费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改进措施：以后加强项目预算绩效管理工作，合理编制项目绩效目标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9"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设计，监理，评估分项成本控制数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≤35.461773万元</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31.971257万元</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≤187.994558万元</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184.506785万元</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按照《北京市财政局关于压减一般性支出全力支持防汛救灾和恢复重建工作的通知》要求，压减交回市财政3.428971万元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因预备费未花完等原因,结余资金0.058802万元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预备费分项成本控制数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≤5.47557万元</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2.79433万元</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设计方案中电缆长度与开挖路面长度均有增加，及为二期改造减少工程开挖费用预留电缆穿管，已做工程洽商变更记录。实际支付包括造价咨询费和专家费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保障博物馆内正常用电，减少超负荷用电对文物古建带来的安全隐患</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得到保障</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解决用电安全隐患</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13.00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工程质量保障年限</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≥5年</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质保年限5年</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3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偏差原因分析：满意度调查样本量偏低，未开展满意度分析工作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改进措施：今后将深入开展满意度调查分析工作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080"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94.40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bl>
    <w:p>
      <w:pPr>
        <w:pStyle w:val="2"/>
        <w:rPr>
          <w:rFonts w:hint="eastAsia"/>
          <w:lang w:eastAsia="zh-CN"/>
        </w:rPr>
      </w:pPr>
    </w:p>
    <w:p>
      <w:pPr>
        <w:pStyle w:val="2"/>
        <w:rPr>
          <w:rFonts w:hint="eastAsia"/>
          <w:lang w:eastAsia="zh-CN"/>
        </w:rPr>
      </w:pPr>
    </w:p>
    <w:tbl>
      <w:tblPr>
        <w:tblStyle w:val="10"/>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8"/>
        <w:gridCol w:w="1296"/>
        <w:gridCol w:w="1298"/>
        <w:gridCol w:w="2145"/>
        <w:gridCol w:w="1569"/>
        <w:gridCol w:w="1370"/>
        <w:gridCol w:w="1370"/>
        <w:gridCol w:w="1269"/>
        <w:gridCol w:w="1169"/>
        <w:gridCol w:w="17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157"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157"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11000023T000002053667-大钟寺室外设备管线改造工程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1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048018-大钟寺古钟博物馆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王西勇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1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18910667439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528"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475.259183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473.759204</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473.730389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99.99%</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475.259183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473.759204</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473.730389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99.99%</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84"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543"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684"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钟寺古钟博物馆东路及办公区域因建成年代久远，供暖管道地下长期渗漏危及文物古建及周边人员安全且无法正常供暖。地下消防栓、给排水管道锈蚀老化严重，水色浑浊发黄污染严重不能正常使用。为解决上述问题，我单位特申请于2023年度在大钟寺古钟博物馆保护范围内进行大钟寺古钟博物馆供暖、供水、排水等室外设备管线改造工程项目建设，以保障正常供暖，保障文物古建及周边人员安全。</w:t>
            </w:r>
          </w:p>
        </w:tc>
        <w:tc>
          <w:tcPr>
            <w:tcW w:w="554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通过开展大钟寺室外设备管线改造工程工作，在大钟寺古钟博物馆保护范围内进行大钟寺古钟博物馆供暖、供水、排水等室外设备管线改造工程项目建设，保障了正常供暖，保障了文物古建及周边人员安全。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9"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施工面积</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≥2300平米</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2300平米</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专家验收合格率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2023年完成项目总结时间</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8月</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4.50 </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7月20日-9月2日北京持续降雨，施工区域与古建筑墙体距离过近，无法保证文物本体安全，博物馆中秋、十一期间需举办活动，以及初验完毕后，进行暖气管道打压试水工作，故延期至12月完成验收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改进措施：以后加强项目计划编制的合理性及风险预估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2023年项目立项完成</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2023年完成项目实施</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5月</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 </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偏差原因分析：我单位于2023年5月9日收到北京市文物局复函立即启动工程开工前程序，于2023年7月20日开工，在12月完成实施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改进措施：以后加强项目计划编制的合理性及风险预估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299"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≤475.259183万元</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473.730389万元</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因履行政府采购程度，投标报价低于预算金额，调整项目预算1.499979万元，节约0.028815万元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正常供暖保障率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保障了正常供暖</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13.00 </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工程质量保障年限</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≥5年</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质保5年</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984"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94.90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bl>
    <w:p>
      <w:pPr>
        <w:pStyle w:val="2"/>
        <w:rPr>
          <w:rFonts w:hint="eastAsia"/>
          <w:lang w:eastAsia="zh-CN"/>
        </w:rPr>
      </w:pPr>
    </w:p>
    <w:p>
      <w:pPr>
        <w:ind w:firstLine="560" w:firstLineChars="200"/>
        <w:rPr>
          <w:rFonts w:hint="eastAsia" w:ascii="黑体" w:hAnsi="Times New Roman" w:eastAsia="黑体" w:cs="Times New Roman"/>
          <w:sz w:val="28"/>
          <w:szCs w:val="28"/>
          <w:lang w:eastAsia="zh-CN"/>
        </w:rPr>
      </w:pPr>
    </w:p>
    <w:p>
      <w:pPr>
        <w:pStyle w:val="2"/>
        <w:rPr>
          <w:rFonts w:hint="eastAsia"/>
          <w:lang w:eastAsia="zh-CN"/>
        </w:rPr>
      </w:pPr>
    </w:p>
    <w:tbl>
      <w:tblPr>
        <w:tblStyle w:val="10"/>
        <w:tblW w:w="144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9"/>
        <w:gridCol w:w="1297"/>
        <w:gridCol w:w="1299"/>
        <w:gridCol w:w="2146"/>
        <w:gridCol w:w="1570"/>
        <w:gridCol w:w="1370"/>
        <w:gridCol w:w="1370"/>
        <w:gridCol w:w="1270"/>
        <w:gridCol w:w="1170"/>
        <w:gridCol w:w="20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464"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464"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11000023T000002067933-大钟寺古钟博物馆永乐大钟钟架预防性保护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48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048018-大钟寺古钟博物馆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08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王申</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48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15901234508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528"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39.660000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39.660000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39.539200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99.70%</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39.660000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39.660000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39.539200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99.70%</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84"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850"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684"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本项目为永乐大钟钟架横梁8L、横梁5L-S和5L-N进行应变监测，分析结构的应力，变化规律和影响因素，评价横梁结构的承载力和稳定性，为结构的预防性保护提供科学依据；对Z1、Z4和Z8立柱进行柱顶倾斜监测，分析结构的倾斜程度，方向和变形规律，评价结构的稳定性和安全性，为结构的预防性保护提供科学依据。 </w:t>
            </w:r>
          </w:p>
        </w:tc>
        <w:tc>
          <w:tcPr>
            <w:tcW w:w="5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通过4期钟架承重结构变形监测，采集到了监测对象完整的各种数据资料，构建了相应的三维模型，并在此基础上完成了基于三维模型的比对，获得了能够准确全面地反映出承重结构体变化的变形信息，数据分析分别采用了基于点云模型比对和剖面线比对两种方法分析，获得了一致的结果，为结构的预防性保护提供科学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9"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提供报告数量</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≥1份</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1份</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监测次数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报告合格率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合格</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5.50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报告体系完整、结论清晰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报告质量符合要求</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6.50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2023年完成项目实施</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2023年完成项目立项工作</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4月</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2月</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299"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≤39.66万元</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39.5392万元</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因履行采购程序，节约资金0.1208万元。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通过项目实施为结构的预防性保护提供科学依据</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提供参考</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为结构的预防性保护提供了参考</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文物安全及正常的开放秩序保障率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为文物安全工作提供决策指导年限</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结果使用人员满意度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 </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偏差原因分析：满意度调查样本量偏低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改进措施：今后将深入开展满意度调查分析工作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9984"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94.97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bl>
    <w:p>
      <w:pPr>
        <w:ind w:firstLine="560" w:firstLineChars="200"/>
        <w:rPr>
          <w:rFonts w:hint="eastAsia" w:ascii="黑体" w:hAnsi="Times New Roman" w:eastAsia="黑体" w:cs="Times New Roman"/>
          <w:sz w:val="28"/>
          <w:szCs w:val="28"/>
          <w:lang w:eastAsia="zh-CN"/>
        </w:rPr>
      </w:pPr>
    </w:p>
    <w:tbl>
      <w:tblPr>
        <w:tblStyle w:val="10"/>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9"/>
        <w:gridCol w:w="1298"/>
        <w:gridCol w:w="1299"/>
        <w:gridCol w:w="2294"/>
        <w:gridCol w:w="1570"/>
        <w:gridCol w:w="1370"/>
        <w:gridCol w:w="1370"/>
        <w:gridCol w:w="1270"/>
        <w:gridCol w:w="1170"/>
        <w:gridCol w:w="15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149"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149"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11000023T000002067936-觉生寺中路古建筑结构安全监测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23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0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048018-大钟寺古钟博物馆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523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王申</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0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15901234508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528"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37.176000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37.176000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37.176000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37.176000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37.176000 </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37.176000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833"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386"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83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前期调研结果觉生寺中路的古建筑短期内出现多处承重柱纵向劈裂的破坏现象，对古建筑结构整体的安全构成了一定的威胁，为保障文物安全，2023年拟开展结构安全性检测、监测工作，以了解结构安全状况，为古建筑修缮提供数据保障。</w:t>
            </w:r>
          </w:p>
        </w:tc>
        <w:tc>
          <w:tcPr>
            <w:tcW w:w="538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通过对觉生寺中路古建筑结构安全监测，完成报告1份、监测22座、检测4252平方米、监测4次，了解了结构安全状况，为古建筑修缮提供了数据保障，为下一步有计划的开展古建筑修缮打下了坚实的基础。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9"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提供报告数量</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≥1份</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1份</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勘察监测建筑数量</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≥22座</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22座</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检测面积</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≥4252平方米</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4252平方米</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监测次数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报告合格率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报告体系完整、结论清晰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2023年完成项目实施保障</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2023年完成监测总结</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2023年完成项目立项完成</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4月</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2月</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299"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≤37.176万元</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37.176万元</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文物安全及正常的开放秩序保障率</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通过项目实施了解结构安全状况，为古建筑修缮提供数据保障</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得到保障</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为古建筑修缮提供了数据保障</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5.50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为文物安全工作提供决策指导年限</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1年以上</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0"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2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管理使用单位满意度</w:t>
            </w:r>
          </w:p>
        </w:tc>
        <w:tc>
          <w:tcPr>
            <w:tcW w:w="29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2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133"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96.50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bl>
    <w:p>
      <w:pPr>
        <w:pStyle w:val="2"/>
        <w:rPr>
          <w:rFonts w:hint="eastAsia"/>
          <w:lang w:eastAsia="zh-CN"/>
        </w:rPr>
      </w:pPr>
    </w:p>
    <w:p>
      <w:pPr>
        <w:ind w:firstLine="560" w:firstLineChars="200"/>
        <w:rPr>
          <w:rFonts w:hint="eastAsia" w:ascii="黑体" w:eastAsia="黑体"/>
          <w:sz w:val="28"/>
          <w:szCs w:val="28"/>
        </w:rPr>
      </w:pPr>
    </w:p>
    <w:p>
      <w:pPr>
        <w:ind w:firstLine="560" w:firstLineChars="200"/>
        <w:rPr>
          <w:rFonts w:ascii="黑体" w:eastAsia="黑体"/>
          <w:sz w:val="28"/>
          <w:szCs w:val="28"/>
        </w:rPr>
      </w:pPr>
      <w:r>
        <w:rPr>
          <w:rFonts w:hint="eastAsia" w:ascii="黑体" w:eastAsia="黑体"/>
          <w:sz w:val="28"/>
          <w:szCs w:val="28"/>
        </w:rPr>
        <w:t>四、中央对北京XX转移支付预算执行情况绩效自评报告</w:t>
      </w:r>
    </w:p>
    <w:p>
      <w:pPr>
        <w:spacing w:line="480" w:lineRule="exact"/>
        <w:ind w:firstLine="560"/>
        <w:rPr>
          <w:rFonts w:hint="eastAsia" w:ascii="黑体" w:eastAsia="黑体"/>
          <w:sz w:val="28"/>
          <w:szCs w:val="28"/>
          <w:lang w:eastAsia="zh-CN"/>
        </w:rPr>
      </w:pPr>
      <w:r>
        <w:rPr>
          <w:rFonts w:hint="eastAsia" w:ascii="仿宋_GB2312" w:eastAsia="仿宋_GB2312"/>
          <w:sz w:val="28"/>
          <w:szCs w:val="28"/>
          <w:lang w:val="en-US" w:eastAsia="zh-CN"/>
        </w:rPr>
        <w:t>无。</w:t>
      </w:r>
    </w:p>
    <w:p>
      <w:pPr>
        <w:pStyle w:val="3"/>
        <w:ind w:firstLine="560"/>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4ODU3NWE0Y2FkOGQ1NTJmMjU2MzE5MDJmZmY5YT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3D80B70"/>
    <w:rsid w:val="079004AC"/>
    <w:rsid w:val="0BA148CA"/>
    <w:rsid w:val="0DD136FE"/>
    <w:rsid w:val="0F8E2C57"/>
    <w:rsid w:val="1059665E"/>
    <w:rsid w:val="10AC13BA"/>
    <w:rsid w:val="12073FFA"/>
    <w:rsid w:val="1AEC0734"/>
    <w:rsid w:val="1C354292"/>
    <w:rsid w:val="1DEF20B0"/>
    <w:rsid w:val="214243FA"/>
    <w:rsid w:val="21AD613C"/>
    <w:rsid w:val="257A14F5"/>
    <w:rsid w:val="27196C26"/>
    <w:rsid w:val="28890A9A"/>
    <w:rsid w:val="2973261D"/>
    <w:rsid w:val="29EF086F"/>
    <w:rsid w:val="2EFFE297"/>
    <w:rsid w:val="301437CA"/>
    <w:rsid w:val="349D1F0A"/>
    <w:rsid w:val="34DD0473"/>
    <w:rsid w:val="433E495C"/>
    <w:rsid w:val="4AC27CB3"/>
    <w:rsid w:val="4BF72BEF"/>
    <w:rsid w:val="51DB3C59"/>
    <w:rsid w:val="550C0952"/>
    <w:rsid w:val="55762E42"/>
    <w:rsid w:val="57A7B272"/>
    <w:rsid w:val="58470068"/>
    <w:rsid w:val="5A1720F9"/>
    <w:rsid w:val="5B9C37C2"/>
    <w:rsid w:val="5BA7C654"/>
    <w:rsid w:val="60395667"/>
    <w:rsid w:val="64C0607C"/>
    <w:rsid w:val="676F09E1"/>
    <w:rsid w:val="7A7F1C49"/>
    <w:rsid w:val="7B5B7AE6"/>
    <w:rsid w:val="7BA7071E"/>
    <w:rsid w:val="7BDB78F5"/>
    <w:rsid w:val="7BDF6DA8"/>
    <w:rsid w:val="7C7EDC1A"/>
    <w:rsid w:val="7CCED98D"/>
    <w:rsid w:val="7D08410F"/>
    <w:rsid w:val="7DB96DED"/>
    <w:rsid w:val="7DD3AD81"/>
    <w:rsid w:val="7F202F55"/>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3817</Words>
  <Characters>6124</Characters>
  <Lines>44</Lines>
  <Paragraphs>12</Paragraphs>
  <TotalTime>8</TotalTime>
  <ScaleCrop>false</ScaleCrop>
  <LinksUpToDate>false</LinksUpToDate>
  <CharactersWithSpaces>6143</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Mr.Lr</cp:lastModifiedBy>
  <cp:lastPrinted>2020-08-07T11:39:00Z</cp:lastPrinted>
  <dcterms:modified xsi:type="dcterms:W3CDTF">2025-02-24T08:59:51Z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156BFFB51DC74471811A3A469CE2833B_13</vt:lpwstr>
  </property>
</Properties>
</file>