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北京市文博发展中心2022年财政预算信息公开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二、收入总表    </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三、支出总表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四、项目支出表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六、财政拨款收支总表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七、一般公共预算财政拨款支出表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十一、财政拨款“三公”经费支出表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十三、项目支出绩效目标表</w:t>
      </w:r>
    </w:p>
    <w:p>
      <w:pPr>
        <w:pStyle w:val="2"/>
        <w:rPr>
          <w:lang w:val="zh-CN"/>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2022年度单位预算情况说明</w:t>
      </w:r>
    </w:p>
    <w:p>
      <w:pPr>
        <w:spacing w:line="360" w:lineRule="auto"/>
        <w:rPr>
          <w:rFonts w:ascii="仿宋_GB2312" w:eastAsia="仿宋_GB2312"/>
          <w:color w:val="000000"/>
          <w:sz w:val="32"/>
          <w:szCs w:val="32"/>
        </w:rPr>
      </w:pPr>
    </w:p>
    <w:p>
      <w:pPr>
        <w:pStyle w:val="3"/>
      </w:pPr>
      <w:r>
        <w:rPr>
          <w:rFonts w:hint="eastAsia"/>
        </w:rPr>
        <w:t>一、单位基本情况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widowControl/>
        <w:ind w:firstLine="640" w:firstLineChars="200"/>
        <w:jc w:val="left"/>
        <w:rPr>
          <w:rFonts w:ascii="仿宋_GB2312" w:eastAsia="仿宋_GB2312"/>
          <w:sz w:val="32"/>
          <w:szCs w:val="32"/>
        </w:rPr>
      </w:pPr>
      <w:r>
        <w:rPr>
          <w:rFonts w:hint="eastAsia" w:ascii="仿宋_GB2312" w:eastAsia="仿宋_GB2312"/>
          <w:sz w:val="32"/>
          <w:szCs w:val="32"/>
        </w:rPr>
        <w:t>北京市文博发展中心是北京市</w:t>
      </w:r>
      <w:r>
        <w:rPr>
          <w:rFonts w:hint="eastAsia" w:ascii="仿宋_GB2312" w:eastAsia="仿宋_GB2312"/>
          <w:kern w:val="0"/>
          <w:sz w:val="32"/>
          <w:szCs w:val="32"/>
        </w:rPr>
        <w:t>文物局下属单位，单位性质为</w:t>
      </w:r>
      <w:r>
        <w:rPr>
          <w:rFonts w:ascii="仿宋_GB2312" w:eastAsia="仿宋_GB2312"/>
          <w:kern w:val="0"/>
          <w:sz w:val="32"/>
          <w:szCs w:val="32"/>
        </w:rPr>
        <w:t>公益一类事业单位</w:t>
      </w:r>
      <w:r>
        <w:rPr>
          <w:rFonts w:hint="eastAsia" w:ascii="仿宋_GB2312" w:eastAsia="仿宋_GB2312"/>
          <w:sz w:val="32"/>
          <w:szCs w:val="32"/>
        </w:rPr>
        <w:t>，正处级。主要职能为</w:t>
      </w:r>
      <w:r>
        <w:rPr>
          <w:rFonts w:ascii="仿宋_GB2312" w:eastAsia="仿宋_GB2312"/>
          <w:sz w:val="32"/>
          <w:szCs w:val="32"/>
        </w:rPr>
        <w:t>承担本市文博行业人才发展、智库建设等事务性工作，承担相关专业技术资格、职业资格认定的事务性工作；开展境外文博领域国际合作和交流工作。</w:t>
      </w:r>
    </w:p>
    <w:p>
      <w:pPr>
        <w:widowControl/>
        <w:jc w:val="left"/>
      </w:pP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北京市文博发展中心下设办公室（安全保卫部）、发展研究部、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综合事务部、事业拓展部四个部门。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（三）人员构成情况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北京市文博发展中心行政编制0人，实际0人；事业编制3</w:t>
      </w:r>
      <w:r>
        <w:rPr>
          <w:rFonts w:ascii="仿宋_GB2312" w:eastAsia="仿宋_GB2312"/>
          <w:sz w:val="32"/>
          <w:szCs w:val="32"/>
        </w:rPr>
        <w:t>0</w:t>
      </w:r>
      <w:r>
        <w:rPr>
          <w:rFonts w:hint="eastAsia" w:ascii="仿宋_GB2312" w:eastAsia="仿宋_GB2312"/>
          <w:sz w:val="32"/>
          <w:szCs w:val="32"/>
        </w:rPr>
        <w:t>人，实际6人；</w:t>
      </w:r>
      <w:r>
        <w:rPr>
          <w:rFonts w:hint="eastAsia" w:ascii="仿宋_GB2312" w:eastAsia="仿宋_GB2312"/>
          <w:color w:val="000000"/>
          <w:sz w:val="32"/>
          <w:szCs w:val="32"/>
        </w:rPr>
        <w:t>其他人员</w:t>
      </w:r>
      <w:r>
        <w:rPr>
          <w:rFonts w:hint="eastAsia" w:ascii="仿宋_GB2312" w:eastAsia="仿宋_GB2312"/>
          <w:sz w:val="32"/>
          <w:szCs w:val="32"/>
        </w:rPr>
        <w:t>0人。</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二、2022年收入及支出总体情况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2022年收入预算393.38万元，比2021年</w:t>
      </w:r>
      <w:r>
        <w:rPr>
          <w:rFonts w:ascii="仿宋_GB2312" w:eastAsia="仿宋_GB2312"/>
          <w:color w:val="000000"/>
          <w:sz w:val="32"/>
          <w:szCs w:val="32"/>
        </w:rPr>
        <w:t>0</w:t>
      </w:r>
      <w:r>
        <w:rPr>
          <w:rFonts w:hint="eastAsia" w:ascii="仿宋_GB2312" w:eastAsia="仿宋_GB2312"/>
          <w:color w:val="000000"/>
          <w:sz w:val="32"/>
          <w:szCs w:val="32"/>
        </w:rPr>
        <w:t>万元增加393.38万元，增长</w:t>
      </w:r>
      <w:r>
        <w:rPr>
          <w:rFonts w:ascii="仿宋_GB2312" w:eastAsia="仿宋_GB2312"/>
          <w:color w:val="000000"/>
          <w:sz w:val="32"/>
          <w:szCs w:val="32"/>
        </w:rPr>
        <w:t>100</w:t>
      </w:r>
      <w:r>
        <w:rPr>
          <w:rFonts w:hint="eastAsia" w:ascii="仿宋_GB2312" w:eastAsia="仿宋_GB2312"/>
          <w:color w:val="000000"/>
          <w:sz w:val="32"/>
          <w:szCs w:val="32"/>
        </w:rPr>
        <w:t>%。其中：本年财政拨款收入393.38万元,比2021年</w:t>
      </w:r>
      <w:r>
        <w:rPr>
          <w:rFonts w:ascii="仿宋_GB2312" w:eastAsia="仿宋_GB2312"/>
          <w:color w:val="000000"/>
          <w:sz w:val="32"/>
          <w:szCs w:val="32"/>
        </w:rPr>
        <w:t>0</w:t>
      </w:r>
      <w:r>
        <w:rPr>
          <w:rFonts w:hint="eastAsia" w:ascii="仿宋_GB2312" w:eastAsia="仿宋_GB2312"/>
          <w:color w:val="000000"/>
          <w:sz w:val="32"/>
          <w:szCs w:val="32"/>
        </w:rPr>
        <w:t>万元增加393.38万元，增加原因：</w:t>
      </w:r>
      <w:r>
        <w:rPr>
          <w:rFonts w:ascii="仿宋_GB2312" w:eastAsia="仿宋_GB2312"/>
          <w:color w:val="000000"/>
          <w:sz w:val="32"/>
          <w:szCs w:val="32"/>
        </w:rPr>
        <w:t>本单位为新成立单位</w:t>
      </w:r>
      <w:r>
        <w:rPr>
          <w:rFonts w:hint="eastAsia" w:ascii="仿宋_GB2312" w:eastAsia="仿宋_GB2312"/>
          <w:color w:val="000000"/>
          <w:sz w:val="32"/>
          <w:szCs w:val="32"/>
        </w:rPr>
        <w:t>；本年其他资金收入</w:t>
      </w:r>
      <w:r>
        <w:rPr>
          <w:rFonts w:ascii="仿宋_GB2312" w:eastAsia="仿宋_GB2312"/>
          <w:color w:val="000000"/>
          <w:sz w:val="32"/>
          <w:szCs w:val="32"/>
        </w:rPr>
        <w:t>0</w:t>
      </w:r>
      <w:r>
        <w:rPr>
          <w:rFonts w:hint="eastAsia" w:ascii="仿宋_GB2312" w:eastAsia="仿宋_GB2312"/>
          <w:color w:val="000000"/>
          <w:sz w:val="32"/>
          <w:szCs w:val="32"/>
        </w:rPr>
        <w:t>万元,与2021年持平；上年结转结余资金</w:t>
      </w:r>
      <w:r>
        <w:rPr>
          <w:rFonts w:ascii="仿宋_GB2312" w:eastAsia="仿宋_GB2312"/>
          <w:color w:val="000000"/>
          <w:sz w:val="32"/>
          <w:szCs w:val="32"/>
        </w:rPr>
        <w:t>0</w:t>
      </w:r>
      <w:r>
        <w:rPr>
          <w:rFonts w:hint="eastAsia" w:ascii="仿宋_GB2312" w:eastAsia="仿宋_GB2312"/>
          <w:color w:val="000000"/>
          <w:sz w:val="32"/>
          <w:szCs w:val="32"/>
        </w:rPr>
        <w:t>万元,与2021年持平。</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2022年支出预算393.38万元，比2021年</w:t>
      </w:r>
      <w:r>
        <w:rPr>
          <w:rFonts w:ascii="仿宋_GB2312" w:eastAsia="仿宋_GB2312"/>
          <w:color w:val="000000"/>
          <w:sz w:val="32"/>
          <w:szCs w:val="32"/>
        </w:rPr>
        <w:t>0</w:t>
      </w:r>
      <w:r>
        <w:rPr>
          <w:rFonts w:hint="eastAsia" w:ascii="仿宋_GB2312" w:eastAsia="仿宋_GB2312"/>
          <w:color w:val="000000"/>
          <w:sz w:val="32"/>
          <w:szCs w:val="32"/>
        </w:rPr>
        <w:t>万元增加393.38万元，增长</w:t>
      </w:r>
      <w:r>
        <w:rPr>
          <w:rFonts w:ascii="仿宋_GB2312" w:eastAsia="仿宋_GB2312"/>
          <w:color w:val="000000"/>
          <w:sz w:val="32"/>
          <w:szCs w:val="32"/>
        </w:rPr>
        <w:t>100</w:t>
      </w:r>
      <w:r>
        <w:rPr>
          <w:rFonts w:hint="eastAsia" w:ascii="仿宋_GB2312" w:eastAsia="仿宋_GB2312"/>
          <w:color w:val="000000"/>
          <w:sz w:val="32"/>
          <w:szCs w:val="32"/>
        </w:rPr>
        <w:t>%。</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基本支出预算180.52万元，占总支出预算45.89%，比2021年</w:t>
      </w:r>
      <w:r>
        <w:rPr>
          <w:rFonts w:ascii="仿宋_GB2312" w:eastAsia="仿宋_GB2312"/>
          <w:color w:val="000000"/>
          <w:sz w:val="32"/>
          <w:szCs w:val="32"/>
        </w:rPr>
        <w:t>0</w:t>
      </w:r>
      <w:r>
        <w:rPr>
          <w:rFonts w:hint="eastAsia" w:ascii="仿宋_GB2312" w:eastAsia="仿宋_GB2312"/>
          <w:color w:val="000000"/>
          <w:sz w:val="32"/>
          <w:szCs w:val="32"/>
        </w:rPr>
        <w:t>万元增加180.52万元，增长</w:t>
      </w:r>
      <w:r>
        <w:rPr>
          <w:rFonts w:ascii="仿宋_GB2312" w:eastAsia="仿宋_GB2312"/>
          <w:color w:val="000000"/>
          <w:sz w:val="32"/>
          <w:szCs w:val="32"/>
        </w:rPr>
        <w:t>100</w:t>
      </w:r>
      <w:r>
        <w:rPr>
          <w:rFonts w:hint="eastAsia" w:ascii="仿宋_GB2312" w:eastAsia="仿宋_GB2312"/>
          <w:color w:val="000000"/>
          <w:sz w:val="32"/>
          <w:szCs w:val="32"/>
        </w:rPr>
        <w:t>%，增加原因：</w:t>
      </w:r>
      <w:r>
        <w:rPr>
          <w:rFonts w:ascii="仿宋_GB2312" w:eastAsia="仿宋_GB2312"/>
          <w:color w:val="000000"/>
          <w:sz w:val="32"/>
          <w:szCs w:val="32"/>
        </w:rPr>
        <w:t>本单位为新成立单位</w:t>
      </w:r>
      <w:r>
        <w:rPr>
          <w:rFonts w:hint="eastAsia" w:ascii="仿宋_GB2312" w:eastAsia="仿宋_GB2312"/>
          <w:color w:val="000000"/>
          <w:sz w:val="32"/>
          <w:szCs w:val="32"/>
        </w:rPr>
        <w:t>。项目支出预算212.86万元，比2021年</w:t>
      </w:r>
      <w:r>
        <w:rPr>
          <w:rFonts w:ascii="仿宋_GB2312" w:eastAsia="仿宋_GB2312"/>
          <w:color w:val="000000"/>
          <w:sz w:val="32"/>
          <w:szCs w:val="32"/>
        </w:rPr>
        <w:t>0</w:t>
      </w:r>
      <w:r>
        <w:rPr>
          <w:rFonts w:hint="eastAsia" w:ascii="仿宋_GB2312" w:eastAsia="仿宋_GB2312"/>
          <w:color w:val="000000"/>
          <w:sz w:val="32"/>
          <w:szCs w:val="32"/>
        </w:rPr>
        <w:t>万元增加212.86万元，增长</w:t>
      </w:r>
      <w:r>
        <w:rPr>
          <w:rFonts w:ascii="仿宋_GB2312" w:eastAsia="仿宋_GB2312"/>
          <w:color w:val="000000"/>
          <w:sz w:val="32"/>
          <w:szCs w:val="32"/>
        </w:rPr>
        <w:t>100</w:t>
      </w:r>
      <w:r>
        <w:rPr>
          <w:rFonts w:hint="eastAsia" w:ascii="仿宋_GB2312" w:eastAsia="仿宋_GB2312"/>
          <w:color w:val="000000"/>
          <w:sz w:val="32"/>
          <w:szCs w:val="32"/>
        </w:rPr>
        <w:t>%，增加原因：</w:t>
      </w:r>
      <w:r>
        <w:rPr>
          <w:rFonts w:ascii="仿宋_GB2312" w:eastAsia="仿宋_GB2312"/>
          <w:color w:val="000000"/>
          <w:sz w:val="32"/>
          <w:szCs w:val="32"/>
        </w:rPr>
        <w:t>本单位为新成立单位</w:t>
      </w:r>
      <w:r>
        <w:rPr>
          <w:rFonts w:hint="eastAsia" w:ascii="仿宋_GB2312" w:eastAsia="仿宋_GB2312"/>
          <w:color w:val="000000"/>
          <w:sz w:val="32"/>
          <w:szCs w:val="32"/>
        </w:rPr>
        <w:t>。其中：</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1.事业单位经营支出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2.上缴上级支出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3.对附属单位补助支出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三、主要支出情况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2</w:t>
      </w:r>
      <w:r>
        <w:rPr>
          <w:rFonts w:hint="eastAsia" w:ascii="仿宋_GB2312" w:eastAsia="仿宋_GB2312"/>
          <w:sz w:val="32"/>
          <w:szCs w:val="32"/>
        </w:rPr>
        <w:t>年北京市文博发展中心</w:t>
      </w:r>
      <w:r>
        <w:rPr>
          <w:rFonts w:ascii="仿宋_GB2312" w:eastAsia="仿宋_GB2312"/>
          <w:sz w:val="32"/>
          <w:szCs w:val="32"/>
        </w:rPr>
        <w:t>重点</w:t>
      </w:r>
      <w:r>
        <w:rPr>
          <w:rFonts w:hint="eastAsia" w:ascii="仿宋_GB2312" w:eastAsia="仿宋_GB2312"/>
          <w:sz w:val="32"/>
          <w:szCs w:val="32"/>
        </w:rPr>
        <w:t>支出</w:t>
      </w:r>
      <w:r>
        <w:rPr>
          <w:rFonts w:ascii="仿宋_GB2312" w:eastAsia="仿宋_GB2312"/>
          <w:sz w:val="32"/>
          <w:szCs w:val="32"/>
        </w:rPr>
        <w:t>方向如下：</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一）为进一步完善局属事业单位专业技术岗位聘用制度，增强内部活力，调动人员积极性，形成按需设岗、以岗定人、职责明晰、管理规范的岗位聘用体系，按照《北京市文物局专业技术岗位聘用管理工作管理办法》（试行）的有关规定，在北京市文物局组宣处的指导下，北京市文博发展中心将组织开展全局高级专业技术岗位聘用评审工作。</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2022年计划开展第八轮岗位聘用工作。其中高级专业技术岗位聘用评审工作需要结合全局中心工作、职称改革情况，就北京市文物局事业单位专业技术高级岗位聘用评价标准进行论证。新标制定后，组织专家对局系统单位高级岗位专业技术人员开展测评工作，并考核上一聘期专业技术成果和工作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（二）为落实习近平总书记在中央人才工作会议上重要讲话精神，增强、创新人才自主培养能力，发挥行业主管部门在人才培中的积极作用，营造重视职业技能的行业氛围。</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2022年计划开展职业技能培养工作，推动实施新时代文物人才建设工程，保护传承优秀文化遗产，同时围绕服务首都“四个中心”城市战略定位，培养、选拔文博行业高技能人才，为把北京建设成为国际一流的和谐宜居之都提供人才保障。</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三）为更好的服务北京文博人才工作，构建满足北京文博事业发展需求的人才队伍，在北京市文物局组宣处的指导下，北京市文博发展中心紧密围绕根据《北京市“十四五”时期文物博物馆事业发展规划》、北京市文物局中心工作、重点工作，着力打造人才工作品牌“文博学苑”。</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2022年度计划成立北京市文博学苑，组织引导京内外文博高校，组建“文博高校联盟”，集成相关学科、人才、专家资源，形成业界与学界的紧密联系，开展人才培育、资源共享、行业交流、业务合作，也为北京文物文博事业发展建设储备源源不竭的后备人才库。</w:t>
      </w:r>
    </w:p>
    <w:p>
      <w:pPr>
        <w:adjustRightInd w:val="0"/>
        <w:snapToGrid w:val="0"/>
        <w:spacing w:line="56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针对上述</w:t>
      </w:r>
      <w:r>
        <w:rPr>
          <w:rFonts w:ascii="仿宋_GB2312" w:eastAsia="仿宋_GB2312"/>
          <w:sz w:val="32"/>
          <w:szCs w:val="32"/>
        </w:rPr>
        <w:t>支出</w:t>
      </w:r>
      <w:r>
        <w:rPr>
          <w:rFonts w:hint="eastAsia" w:ascii="仿宋_GB2312" w:eastAsia="仿宋_GB2312"/>
          <w:sz w:val="32"/>
          <w:szCs w:val="32"/>
        </w:rPr>
        <w:t>，</w:t>
      </w:r>
      <w:r>
        <w:rPr>
          <w:rFonts w:ascii="仿宋_GB2312" w:eastAsia="仿宋_GB2312"/>
          <w:sz w:val="32"/>
          <w:szCs w:val="32"/>
        </w:rPr>
        <w:t>我单位</w:t>
      </w:r>
      <w:r>
        <w:rPr>
          <w:rFonts w:hint="eastAsia" w:ascii="仿宋_GB2312" w:eastAsia="仿宋_GB2312"/>
          <w:sz w:val="32"/>
          <w:szCs w:val="32"/>
        </w:rPr>
        <w:t>预算项目支出主要安</w:t>
      </w:r>
      <w:r>
        <w:rPr>
          <w:rFonts w:hint="eastAsia" w:ascii="仿宋_GB2312" w:eastAsia="仿宋_GB2312"/>
          <w:color w:val="000000"/>
          <w:sz w:val="32"/>
          <w:szCs w:val="32"/>
        </w:rPr>
        <w:t>排</w:t>
      </w:r>
      <w:r>
        <w:rPr>
          <w:rFonts w:ascii="仿宋_GB2312" w:eastAsia="仿宋_GB2312"/>
          <w:color w:val="000000"/>
          <w:sz w:val="32"/>
          <w:szCs w:val="32"/>
        </w:rPr>
        <w:t>：</w:t>
      </w:r>
    </w:p>
    <w:p>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1.</w:t>
      </w:r>
      <w:r>
        <w:rPr>
          <w:rFonts w:hint="eastAsia" w:ascii="仿宋_GB2312" w:eastAsia="仿宋_GB2312"/>
          <w:color w:val="000000"/>
          <w:sz w:val="32"/>
          <w:szCs w:val="32"/>
        </w:rPr>
        <w:t xml:space="preserve"> 高级专业技术岗位聘用评审13.58万元.</w:t>
      </w:r>
    </w:p>
    <w:p>
      <w:pPr>
        <w:adjustRightInd w:val="0"/>
        <w:snapToGrid w:val="0"/>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rPr>
        <w:t xml:space="preserve"> </w:t>
      </w:r>
      <w:r>
        <w:rPr>
          <w:rFonts w:hint="eastAsia" w:ascii="仿宋_GB2312" w:eastAsia="仿宋_GB2312"/>
          <w:sz w:val="32"/>
          <w:szCs w:val="32"/>
        </w:rPr>
        <w:t>职业技能培养60万元</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rPr>
        <w:t xml:space="preserve"> </w:t>
      </w:r>
      <w:r>
        <w:rPr>
          <w:rFonts w:hint="eastAsia" w:ascii="仿宋_GB2312" w:eastAsia="仿宋_GB2312"/>
          <w:sz w:val="32"/>
          <w:szCs w:val="32"/>
        </w:rPr>
        <w:t>人才工作品牌“文博学苑”建设139.28万元</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四、单位“三公”经费财政拨款预算说明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北京市文博发展中心</w:t>
      </w:r>
      <w:r>
        <w:rPr>
          <w:rFonts w:hint="eastAsia" w:ascii="仿宋_GB2312" w:eastAsia="仿宋_GB2312"/>
          <w:color w:val="000000"/>
          <w:sz w:val="32"/>
          <w:szCs w:val="32"/>
        </w:rPr>
        <w:t>因公出国（境）费用、公务接待费、公务用车购置和运行维护费开支单位包括</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个所属单位。其他单位2022年无财政拨款安排的“三公”经费预算。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（二）“三公”经费预算财政拨款情况说明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2022年“三公”经费财政拨款预算0.08万元</w:t>
      </w:r>
      <w:bookmarkStart w:id="0" w:name="_GoBack"/>
      <w:bookmarkEnd w:id="0"/>
      <w:r>
        <w:rPr>
          <w:rFonts w:hint="eastAsia" w:ascii="仿宋_GB2312" w:eastAsia="仿宋_GB2312"/>
          <w:color w:val="000000"/>
          <w:sz w:val="32"/>
          <w:szCs w:val="32"/>
        </w:rPr>
        <w:t>比2021年“三公”经费财政拨款预算增加0.08万元。主要原因：本单位为新增单位2021年无“三公”经费。其中：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1.因公出国（境）费用。2022年预算数</w:t>
      </w:r>
      <w:r>
        <w:rPr>
          <w:rFonts w:ascii="仿宋_GB2312" w:eastAsia="仿宋_GB2312"/>
          <w:color w:val="000000"/>
          <w:sz w:val="32"/>
          <w:szCs w:val="32"/>
        </w:rPr>
        <w:t>0</w:t>
      </w:r>
      <w:r>
        <w:rPr>
          <w:rFonts w:hint="eastAsia" w:ascii="仿宋_GB2312" w:eastAsia="仿宋_GB2312"/>
          <w:color w:val="000000"/>
          <w:sz w:val="32"/>
          <w:szCs w:val="32"/>
        </w:rPr>
        <w:t>万元，与2021年</w:t>
      </w:r>
      <w:r>
        <w:rPr>
          <w:rFonts w:ascii="仿宋_GB2312" w:eastAsia="仿宋_GB2312"/>
          <w:color w:val="000000"/>
          <w:sz w:val="32"/>
          <w:szCs w:val="32"/>
        </w:rPr>
        <w:t>持平</w:t>
      </w:r>
      <w:r>
        <w:rPr>
          <w:rFonts w:hint="eastAsia" w:ascii="仿宋_GB2312" w:eastAsia="仿宋_GB2312"/>
          <w:color w:val="000000"/>
          <w:sz w:val="32"/>
          <w:szCs w:val="32"/>
        </w:rPr>
        <w:t>。</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2.公务接待费。2022年预算数0.08万元，比2021年“三公”经费财政拨款预算增加0.08万元。主要原因：本单位为新增单位。2022年公务接待费主要用于</w:t>
      </w:r>
      <w:r>
        <w:rPr>
          <w:rFonts w:hint="eastAsia" w:ascii="仿宋_GB2312" w:eastAsia="仿宋_GB2312"/>
          <w:sz w:val="32"/>
          <w:szCs w:val="32"/>
        </w:rPr>
        <w:t>文博单位业务交流接待等方面</w:t>
      </w:r>
      <w:r>
        <w:rPr>
          <w:rFonts w:hint="eastAsia" w:ascii="仿宋_GB2312" w:eastAsia="仿宋_GB2312"/>
          <w:color w:val="000000"/>
          <w:sz w:val="32"/>
          <w:szCs w:val="32"/>
        </w:rPr>
        <w:t>。</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3.公务用车购置和运行维护费。2022年预算数</w:t>
      </w:r>
      <w:r>
        <w:rPr>
          <w:rFonts w:ascii="仿宋_GB2312" w:eastAsia="仿宋_GB2312"/>
          <w:color w:val="000000"/>
          <w:sz w:val="32"/>
          <w:szCs w:val="32"/>
        </w:rPr>
        <w:t>0</w:t>
      </w:r>
      <w:r>
        <w:rPr>
          <w:rFonts w:hint="eastAsia" w:ascii="仿宋_GB2312" w:eastAsia="仿宋_GB2312"/>
          <w:color w:val="000000"/>
          <w:sz w:val="32"/>
          <w:szCs w:val="32"/>
        </w:rPr>
        <w:t>万元，其中，公务用车购置费2022年预算数</w:t>
      </w:r>
      <w:r>
        <w:rPr>
          <w:rFonts w:ascii="仿宋_GB2312" w:eastAsia="仿宋_GB2312"/>
          <w:color w:val="000000"/>
          <w:sz w:val="32"/>
          <w:szCs w:val="32"/>
        </w:rPr>
        <w:t>0</w:t>
      </w:r>
      <w:r>
        <w:rPr>
          <w:rFonts w:hint="eastAsia" w:ascii="仿宋_GB2312" w:eastAsia="仿宋_GB2312"/>
          <w:color w:val="000000"/>
          <w:sz w:val="32"/>
          <w:szCs w:val="32"/>
        </w:rPr>
        <w:t>万元，与2021年</w:t>
      </w:r>
      <w:r>
        <w:rPr>
          <w:rFonts w:ascii="仿宋_GB2312" w:eastAsia="仿宋_GB2312"/>
          <w:color w:val="000000"/>
          <w:sz w:val="32"/>
          <w:szCs w:val="32"/>
        </w:rPr>
        <w:t>持平</w:t>
      </w:r>
      <w:r>
        <w:rPr>
          <w:rFonts w:hint="eastAsia" w:ascii="仿宋_GB2312" w:eastAsia="仿宋_GB2312"/>
          <w:color w:val="000000"/>
          <w:sz w:val="32"/>
          <w:szCs w:val="32"/>
        </w:rPr>
        <w:t>；公务用车运行维护费2022年预算数</w:t>
      </w:r>
      <w:r>
        <w:rPr>
          <w:rFonts w:ascii="仿宋_GB2312" w:eastAsia="仿宋_GB2312"/>
          <w:color w:val="000000"/>
          <w:sz w:val="32"/>
          <w:szCs w:val="32"/>
        </w:rPr>
        <w:t>0</w:t>
      </w:r>
      <w:r>
        <w:rPr>
          <w:rFonts w:hint="eastAsia" w:ascii="仿宋_GB2312" w:eastAsia="仿宋_GB2312"/>
          <w:color w:val="000000"/>
          <w:sz w:val="32"/>
          <w:szCs w:val="32"/>
        </w:rPr>
        <w:t>万元，其中：公务用车燃油</w:t>
      </w:r>
      <w:r>
        <w:rPr>
          <w:rFonts w:ascii="仿宋_GB2312" w:eastAsia="仿宋_GB2312"/>
          <w:color w:val="000000"/>
          <w:sz w:val="32"/>
          <w:szCs w:val="32"/>
        </w:rPr>
        <w:t>0</w:t>
      </w:r>
      <w:r>
        <w:rPr>
          <w:rFonts w:hint="eastAsia" w:ascii="仿宋_GB2312" w:eastAsia="仿宋_GB2312"/>
          <w:color w:val="000000"/>
          <w:sz w:val="32"/>
          <w:szCs w:val="32"/>
        </w:rPr>
        <w:t>万元，公务用车维修</w:t>
      </w:r>
      <w:r>
        <w:rPr>
          <w:rFonts w:ascii="仿宋_GB2312" w:eastAsia="仿宋_GB2312"/>
          <w:color w:val="000000"/>
          <w:sz w:val="32"/>
          <w:szCs w:val="32"/>
        </w:rPr>
        <w:t>0</w:t>
      </w:r>
      <w:r>
        <w:rPr>
          <w:rFonts w:hint="eastAsia" w:ascii="仿宋_GB2312" w:eastAsia="仿宋_GB2312"/>
          <w:color w:val="000000"/>
          <w:sz w:val="32"/>
          <w:szCs w:val="32"/>
        </w:rPr>
        <w:t>万元，公务用车保险</w:t>
      </w:r>
      <w:r>
        <w:rPr>
          <w:rFonts w:ascii="仿宋_GB2312" w:eastAsia="仿宋_GB2312"/>
          <w:color w:val="000000"/>
          <w:sz w:val="32"/>
          <w:szCs w:val="32"/>
        </w:rPr>
        <w:t>0</w:t>
      </w:r>
      <w:r>
        <w:rPr>
          <w:rFonts w:hint="eastAsia" w:ascii="仿宋_GB2312" w:eastAsia="仿宋_GB2312"/>
          <w:color w:val="000000"/>
          <w:sz w:val="32"/>
          <w:szCs w:val="32"/>
        </w:rPr>
        <w:t>万元，其他支出</w:t>
      </w:r>
      <w:r>
        <w:rPr>
          <w:rFonts w:ascii="仿宋_GB2312" w:eastAsia="仿宋_GB2312"/>
          <w:color w:val="000000"/>
          <w:sz w:val="32"/>
          <w:szCs w:val="32"/>
        </w:rPr>
        <w:t>0</w:t>
      </w:r>
      <w:r>
        <w:rPr>
          <w:rFonts w:hint="eastAsia" w:ascii="仿宋_GB2312" w:eastAsia="仿宋_GB2312"/>
          <w:color w:val="000000"/>
          <w:sz w:val="32"/>
          <w:szCs w:val="32"/>
        </w:rPr>
        <w:t>万元。公务用车运行维护费2022年与2021年</w:t>
      </w:r>
      <w:r>
        <w:rPr>
          <w:rFonts w:ascii="仿宋_GB2312" w:eastAsia="仿宋_GB2312"/>
          <w:color w:val="000000"/>
          <w:sz w:val="32"/>
          <w:szCs w:val="32"/>
        </w:rPr>
        <w:t>持平</w:t>
      </w:r>
      <w:r>
        <w:rPr>
          <w:rFonts w:hint="eastAsia" w:ascii="仿宋_GB2312" w:eastAsia="仿宋_GB2312"/>
          <w:color w:val="000000"/>
          <w:sz w:val="32"/>
          <w:szCs w:val="32"/>
        </w:rPr>
        <w:t>。</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w:t>
      </w:r>
      <w:r>
        <w:rPr>
          <w:rFonts w:hint="eastAsia" w:ascii="仿宋_GB2312" w:eastAsia="仿宋_GB2312"/>
          <w:sz w:val="32"/>
          <w:szCs w:val="32"/>
        </w:rPr>
        <w:t>北京市文博发展中心</w:t>
      </w:r>
      <w:r>
        <w:rPr>
          <w:rFonts w:hint="eastAsia" w:ascii="仿宋_GB2312" w:eastAsia="仿宋_GB2312"/>
          <w:color w:val="000000"/>
          <w:sz w:val="32"/>
          <w:szCs w:val="32"/>
        </w:rPr>
        <w:t>政府采购预算总额143.06万元，其中：政府采购货物预算3.77万元，政府采购工程预算0万元，政府采购服务预算139.29万元。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w:t>
      </w:r>
      <w:r>
        <w:rPr>
          <w:rFonts w:hint="eastAsia" w:ascii="仿宋_GB2312" w:eastAsia="仿宋_GB2312"/>
          <w:sz w:val="32"/>
          <w:szCs w:val="32"/>
        </w:rPr>
        <w:t>北京市文博发展中心</w:t>
      </w:r>
      <w:r>
        <w:rPr>
          <w:rFonts w:hint="eastAsia" w:ascii="仿宋_GB2312" w:eastAsia="仿宋_GB2312"/>
          <w:color w:val="000000"/>
          <w:sz w:val="32"/>
          <w:szCs w:val="32"/>
        </w:rPr>
        <w:t>政府购买服务预算总额</w:t>
      </w:r>
      <w:r>
        <w:rPr>
          <w:rFonts w:ascii="仿宋_GB2312" w:eastAsia="仿宋_GB2312"/>
          <w:color w:val="000000"/>
          <w:sz w:val="32"/>
          <w:szCs w:val="32"/>
        </w:rPr>
        <w:t>0.00</w:t>
      </w:r>
      <w:r>
        <w:rPr>
          <w:rFonts w:hint="eastAsia" w:ascii="仿宋_GB2312" w:eastAsia="仿宋_GB2312"/>
          <w:color w:val="000000"/>
          <w:sz w:val="32"/>
          <w:szCs w:val="32"/>
        </w:rPr>
        <w:t>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我单位不在机关运行经费统计范围之内。</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w:t>
      </w:r>
      <w:r>
        <w:rPr>
          <w:rFonts w:hint="eastAsia" w:ascii="仿宋_GB2312" w:eastAsia="仿宋_GB2312"/>
          <w:sz w:val="32"/>
          <w:szCs w:val="32"/>
        </w:rPr>
        <w:t>北京市文博发展中心</w:t>
      </w:r>
      <w:r>
        <w:rPr>
          <w:rFonts w:hint="eastAsia" w:ascii="仿宋_GB2312" w:eastAsia="仿宋_GB2312"/>
          <w:color w:val="000000"/>
          <w:sz w:val="32"/>
          <w:szCs w:val="32"/>
        </w:rPr>
        <w:t>填报绩效目标的预算项目3个，占本单位全部预算项目3个的1</w:t>
      </w:r>
      <w:r>
        <w:rPr>
          <w:rFonts w:ascii="仿宋_GB2312" w:eastAsia="仿宋_GB2312"/>
          <w:color w:val="000000"/>
          <w:sz w:val="32"/>
          <w:szCs w:val="32"/>
        </w:rPr>
        <w:t>00</w:t>
      </w:r>
      <w:r>
        <w:rPr>
          <w:rFonts w:hint="eastAsia" w:ascii="仿宋_GB2312" w:eastAsia="仿宋_GB2312"/>
          <w:color w:val="000000"/>
          <w:sz w:val="32"/>
          <w:szCs w:val="32"/>
        </w:rPr>
        <w:t>%。填报绩效目标的项目支出预算212.86万元，占本单位年初全部项目支出预算的100%。</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本单位2022年无重点行政事业性收费。</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截至2021年底，</w:t>
      </w:r>
      <w:r>
        <w:rPr>
          <w:rFonts w:hint="eastAsia" w:ascii="仿宋_GB2312" w:eastAsia="仿宋_GB2312"/>
          <w:sz w:val="32"/>
          <w:szCs w:val="32"/>
        </w:rPr>
        <w:t>北京市文博发展中心</w:t>
      </w:r>
      <w:r>
        <w:rPr>
          <w:rFonts w:hint="eastAsia" w:ascii="仿宋_GB2312" w:eastAsia="仿宋_GB2312"/>
          <w:color w:val="000000"/>
          <w:sz w:val="32"/>
          <w:szCs w:val="32"/>
        </w:rPr>
        <w:t>共有车辆</w:t>
      </w:r>
      <w:r>
        <w:rPr>
          <w:rFonts w:ascii="仿宋_GB2312" w:eastAsia="仿宋_GB2312"/>
          <w:color w:val="000000"/>
          <w:sz w:val="32"/>
          <w:szCs w:val="32"/>
        </w:rPr>
        <w:t>0</w:t>
      </w:r>
      <w:r>
        <w:rPr>
          <w:rFonts w:hint="eastAsia" w:ascii="仿宋_GB2312" w:eastAsia="仿宋_GB2312"/>
          <w:color w:val="000000"/>
          <w:sz w:val="32"/>
          <w:szCs w:val="32"/>
        </w:rPr>
        <w:t>台，共计</w:t>
      </w:r>
      <w:r>
        <w:rPr>
          <w:rFonts w:ascii="仿宋_GB2312" w:eastAsia="仿宋_GB2312"/>
          <w:color w:val="000000"/>
          <w:sz w:val="32"/>
          <w:szCs w:val="32"/>
        </w:rPr>
        <w:t>0.00</w:t>
      </w:r>
      <w:r>
        <w:rPr>
          <w:rFonts w:hint="eastAsia" w:ascii="仿宋_GB2312" w:eastAsia="仿宋_GB2312"/>
          <w:color w:val="000000"/>
          <w:sz w:val="32"/>
          <w:szCs w:val="32"/>
        </w:rPr>
        <w:t>万元；单位价值50万元以上的通用设备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w:t>
      </w:r>
      <w:r>
        <w:rPr>
          <w:rFonts w:hint="eastAsia" w:ascii="仿宋_GB2312" w:eastAsia="仿宋_GB2312"/>
          <w:color w:val="000000"/>
          <w:sz w:val="32"/>
          <w:szCs w:val="32"/>
        </w:rPr>
        <w:t>.0</w:t>
      </w:r>
      <w:r>
        <w:rPr>
          <w:rFonts w:ascii="仿宋_GB2312" w:eastAsia="仿宋_GB2312"/>
          <w:color w:val="000000"/>
          <w:sz w:val="32"/>
          <w:szCs w:val="32"/>
        </w:rPr>
        <w:t>0</w:t>
      </w:r>
      <w:r>
        <w:rPr>
          <w:rFonts w:hint="eastAsia" w:ascii="仿宋_GB2312" w:eastAsia="仿宋_GB2312"/>
          <w:color w:val="000000"/>
          <w:sz w:val="32"/>
          <w:szCs w:val="32"/>
        </w:rPr>
        <w:t>万元，单位价值100万元以上的专用设备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0.00</w:t>
      </w:r>
      <w:r>
        <w:rPr>
          <w:rFonts w:hint="eastAsia" w:ascii="仿宋_GB2312" w:eastAsia="仿宋_GB2312"/>
          <w:color w:val="000000"/>
          <w:sz w:val="32"/>
          <w:szCs w:val="32"/>
        </w:rPr>
        <w:t>万元。</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560" w:lineRule="exact"/>
        <w:jc w:val="left"/>
        <w:rPr>
          <w:rFonts w:ascii="方正小标宋简体" w:eastAsia="方正小标宋简体"/>
          <w:color w:val="000000"/>
          <w:sz w:val="36"/>
          <w:szCs w:val="36"/>
        </w:rPr>
      </w:pPr>
    </w:p>
    <w:p>
      <w:pPr>
        <w:ind w:firstLine="640" w:firstLineChars="200"/>
      </w:pPr>
      <w:r>
        <w:rPr>
          <w:rFonts w:hint="eastAsia" w:ascii="仿宋_GB2312" w:eastAsia="仿宋_GB2312"/>
          <w:color w:val="000000"/>
          <w:sz w:val="32"/>
          <w:szCs w:val="32"/>
        </w:rPr>
        <w:t>附件：</w:t>
      </w:r>
      <w:r>
        <w:rPr>
          <w:rFonts w:hint="eastAsia" w:ascii="仿宋_GB2312" w:eastAsia="仿宋_GB2312"/>
          <w:sz w:val="32"/>
          <w:szCs w:val="32"/>
        </w:rPr>
        <w:t>北京市文博发展中心</w:t>
      </w: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年度单位预算报表（见</w:t>
      </w:r>
      <w:r>
        <w:rPr>
          <w:rFonts w:ascii="仿宋_GB2312" w:eastAsia="仿宋_GB2312"/>
          <w:color w:val="000000"/>
          <w:sz w:val="32"/>
          <w:szCs w:val="32"/>
        </w:rPr>
        <w:t>附表</w:t>
      </w:r>
      <w:r>
        <w:rPr>
          <w:rFonts w:hint="eastAsia" w:ascii="仿宋_GB2312" w:eastAsia="仿宋_GB2312"/>
          <w:color w:val="000000"/>
          <w:sz w:val="32"/>
          <w:szCs w:val="32"/>
        </w:rPr>
        <w:t>）</w:t>
      </w:r>
    </w:p>
    <w:p/>
    <w:sectPr>
      <w:pgSz w:w="11906" w:h="16838"/>
      <w:pgMar w:top="1418"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Droid Sans">
    <w:altName w:val="Times New Roman"/>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3160"/>
    <w:rsid w:val="00022DF3"/>
    <w:rsid w:val="000628B2"/>
    <w:rsid w:val="001C3072"/>
    <w:rsid w:val="001C49F6"/>
    <w:rsid w:val="002D5F1F"/>
    <w:rsid w:val="002F4985"/>
    <w:rsid w:val="00475D8C"/>
    <w:rsid w:val="00477E9B"/>
    <w:rsid w:val="004A1644"/>
    <w:rsid w:val="00582253"/>
    <w:rsid w:val="00583160"/>
    <w:rsid w:val="00601331"/>
    <w:rsid w:val="006A38D2"/>
    <w:rsid w:val="007E058B"/>
    <w:rsid w:val="007F5918"/>
    <w:rsid w:val="00825E06"/>
    <w:rsid w:val="008A7C21"/>
    <w:rsid w:val="00A96849"/>
    <w:rsid w:val="00BA57EA"/>
    <w:rsid w:val="00BC73F5"/>
    <w:rsid w:val="00D65C07"/>
    <w:rsid w:val="00E75C4A"/>
    <w:rsid w:val="00F04C9F"/>
    <w:rsid w:val="00FC06BA"/>
    <w:rsid w:val="0BDF1B21"/>
    <w:rsid w:val="0FEF37EF"/>
    <w:rsid w:val="14EECE2D"/>
    <w:rsid w:val="1BBF15B6"/>
    <w:rsid w:val="21D3EB6B"/>
    <w:rsid w:val="23EE2076"/>
    <w:rsid w:val="25BA4ABF"/>
    <w:rsid w:val="2EBF1386"/>
    <w:rsid w:val="2F9790BE"/>
    <w:rsid w:val="3ADFB57C"/>
    <w:rsid w:val="3ADFBECE"/>
    <w:rsid w:val="3BEC911C"/>
    <w:rsid w:val="3D7F116B"/>
    <w:rsid w:val="3DDFD7B4"/>
    <w:rsid w:val="3FB114EE"/>
    <w:rsid w:val="3FB7A579"/>
    <w:rsid w:val="3FD73CC6"/>
    <w:rsid w:val="3FF657C2"/>
    <w:rsid w:val="3FFE2B7C"/>
    <w:rsid w:val="455FE796"/>
    <w:rsid w:val="4BFB8515"/>
    <w:rsid w:val="4DEED860"/>
    <w:rsid w:val="4FBD9410"/>
    <w:rsid w:val="57FB29F1"/>
    <w:rsid w:val="58D33C03"/>
    <w:rsid w:val="5B3DFF18"/>
    <w:rsid w:val="5BEA874B"/>
    <w:rsid w:val="5BF1CBD5"/>
    <w:rsid w:val="5D07FE17"/>
    <w:rsid w:val="5DBB9630"/>
    <w:rsid w:val="5DEE730E"/>
    <w:rsid w:val="5EFE3AED"/>
    <w:rsid w:val="5F99988A"/>
    <w:rsid w:val="5FCE049D"/>
    <w:rsid w:val="5FFFC697"/>
    <w:rsid w:val="632FA64B"/>
    <w:rsid w:val="64D927E1"/>
    <w:rsid w:val="666FD8D9"/>
    <w:rsid w:val="67FF2937"/>
    <w:rsid w:val="69D7433A"/>
    <w:rsid w:val="6ADF3C06"/>
    <w:rsid w:val="6AE76CC1"/>
    <w:rsid w:val="6B7C9422"/>
    <w:rsid w:val="6BC73043"/>
    <w:rsid w:val="6DFEA1EA"/>
    <w:rsid w:val="6E05B9AC"/>
    <w:rsid w:val="6ED683F2"/>
    <w:rsid w:val="6F4F0A27"/>
    <w:rsid w:val="6FEBBC56"/>
    <w:rsid w:val="6FF7BE44"/>
    <w:rsid w:val="734FD376"/>
    <w:rsid w:val="73DF926D"/>
    <w:rsid w:val="75B7C6E3"/>
    <w:rsid w:val="75FF4938"/>
    <w:rsid w:val="76B787DF"/>
    <w:rsid w:val="77E755B4"/>
    <w:rsid w:val="77FE4BDE"/>
    <w:rsid w:val="77FF5DE1"/>
    <w:rsid w:val="78D88647"/>
    <w:rsid w:val="79FB4AB6"/>
    <w:rsid w:val="7ABDC93E"/>
    <w:rsid w:val="7B5FFBB0"/>
    <w:rsid w:val="7B6D9239"/>
    <w:rsid w:val="7BF75D2B"/>
    <w:rsid w:val="7BFB05C7"/>
    <w:rsid w:val="7BFBC9C2"/>
    <w:rsid w:val="7BFFF80D"/>
    <w:rsid w:val="7CBDC647"/>
    <w:rsid w:val="7D539B12"/>
    <w:rsid w:val="7D56B6FA"/>
    <w:rsid w:val="7DC78479"/>
    <w:rsid w:val="7DDBDF49"/>
    <w:rsid w:val="7DDD2D19"/>
    <w:rsid w:val="7DEEA26D"/>
    <w:rsid w:val="7DF52215"/>
    <w:rsid w:val="7EEDDC2C"/>
    <w:rsid w:val="7F6D5253"/>
    <w:rsid w:val="7F7948D6"/>
    <w:rsid w:val="7F7A8FC0"/>
    <w:rsid w:val="7F7F6218"/>
    <w:rsid w:val="7FA76E40"/>
    <w:rsid w:val="7FBFAF75"/>
    <w:rsid w:val="7FD9BC92"/>
    <w:rsid w:val="7FEF9A10"/>
    <w:rsid w:val="7FF2D12B"/>
    <w:rsid w:val="7FFC0F09"/>
    <w:rsid w:val="7FFD8AD7"/>
    <w:rsid w:val="7FFE1047"/>
    <w:rsid w:val="7FFEECF0"/>
    <w:rsid w:val="7FFF1D8B"/>
    <w:rsid w:val="7FFFCF83"/>
    <w:rsid w:val="8FA74925"/>
    <w:rsid w:val="97EF0FD5"/>
    <w:rsid w:val="9CF88DB0"/>
    <w:rsid w:val="A9E64CD9"/>
    <w:rsid w:val="AEDFAAAB"/>
    <w:rsid w:val="AFDF6734"/>
    <w:rsid w:val="B1FF3B93"/>
    <w:rsid w:val="B6FFDA5F"/>
    <w:rsid w:val="B9F7CC63"/>
    <w:rsid w:val="BAD93FE6"/>
    <w:rsid w:val="BCE9ECB9"/>
    <w:rsid w:val="BFFAB7A4"/>
    <w:rsid w:val="BFFDF8B7"/>
    <w:rsid w:val="CBEF8B46"/>
    <w:rsid w:val="CDF748D8"/>
    <w:rsid w:val="CFB7D488"/>
    <w:rsid w:val="D2D70C11"/>
    <w:rsid w:val="D36F9A86"/>
    <w:rsid w:val="D57B93D7"/>
    <w:rsid w:val="D5FDD974"/>
    <w:rsid w:val="D7BF4B32"/>
    <w:rsid w:val="D9AF59AA"/>
    <w:rsid w:val="DDBF8A7C"/>
    <w:rsid w:val="DDCFEA5D"/>
    <w:rsid w:val="DEBF0B30"/>
    <w:rsid w:val="DEF24B9A"/>
    <w:rsid w:val="DF6FD10E"/>
    <w:rsid w:val="DFC784C1"/>
    <w:rsid w:val="E5B75AEE"/>
    <w:rsid w:val="E7BF6892"/>
    <w:rsid w:val="E7FF244D"/>
    <w:rsid w:val="EAB7AAD7"/>
    <w:rsid w:val="EB9D9974"/>
    <w:rsid w:val="EBFDFB56"/>
    <w:rsid w:val="EBFF929F"/>
    <w:rsid w:val="EC7DF418"/>
    <w:rsid w:val="ED7F6B4F"/>
    <w:rsid w:val="EDBF1DC9"/>
    <w:rsid w:val="EDDB1DA6"/>
    <w:rsid w:val="EF767E18"/>
    <w:rsid w:val="EF77153D"/>
    <w:rsid w:val="EFAF175E"/>
    <w:rsid w:val="EFEE5259"/>
    <w:rsid w:val="EFF8F2E3"/>
    <w:rsid w:val="EFFDCD1B"/>
    <w:rsid w:val="EFFFFB8C"/>
    <w:rsid w:val="F2FC2CD0"/>
    <w:rsid w:val="F36F97F4"/>
    <w:rsid w:val="F6A39710"/>
    <w:rsid w:val="F6D6C3B6"/>
    <w:rsid w:val="F78DF452"/>
    <w:rsid w:val="F96B8651"/>
    <w:rsid w:val="F9EB2B47"/>
    <w:rsid w:val="FAFD2F32"/>
    <w:rsid w:val="FAFFA384"/>
    <w:rsid w:val="FBCBA647"/>
    <w:rsid w:val="FBE72757"/>
    <w:rsid w:val="FBF74937"/>
    <w:rsid w:val="FDBDE9B4"/>
    <w:rsid w:val="FDC59BD3"/>
    <w:rsid w:val="FDF7CE19"/>
    <w:rsid w:val="FDFF5184"/>
    <w:rsid w:val="FE8AFA36"/>
    <w:rsid w:val="FEB7A41C"/>
    <w:rsid w:val="FEDED3BF"/>
    <w:rsid w:val="FEFE8A88"/>
    <w:rsid w:val="FF5FCE8E"/>
    <w:rsid w:val="FF5FF746"/>
    <w:rsid w:val="FFBBC666"/>
    <w:rsid w:val="FFCB3F4F"/>
    <w:rsid w:val="FFD4010E"/>
    <w:rsid w:val="FFD58BA6"/>
    <w:rsid w:val="FFDFA3FB"/>
    <w:rsid w:val="FFE90187"/>
    <w:rsid w:val="FFEB4D9E"/>
    <w:rsid w:val="FFEFC2C1"/>
    <w:rsid w:val="FFFC61B6"/>
    <w:rsid w:val="FFFD670D"/>
    <w:rsid w:val="FFFF051B"/>
    <w:rsid w:val="FFFF11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3">
    <w:name w:val="heading 1"/>
    <w:basedOn w:val="1"/>
    <w:next w:val="1"/>
    <w:qFormat/>
    <w:uiPriority w:val="9"/>
    <w:pPr>
      <w:keepNext/>
      <w:keepLines/>
      <w:spacing w:line="576" w:lineRule="auto"/>
      <w:outlineLvl w:val="0"/>
    </w:pPr>
    <w:rPr>
      <w:b/>
      <w:kern w:val="44"/>
      <w:sz w:val="44"/>
    </w:rPr>
  </w:style>
  <w:style w:type="paragraph" w:styleId="2">
    <w:name w:val="heading 2"/>
    <w:basedOn w:val="1"/>
    <w:next w:val="1"/>
    <w:link w:val="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rFonts w:cs="Times New Roman"/>
      <w:kern w:val="0"/>
      <w:sz w:val="24"/>
    </w:rPr>
  </w:style>
  <w:style w:type="character" w:customStyle="1" w:styleId="9">
    <w:name w:val="标题 2 Char"/>
    <w:basedOn w:val="8"/>
    <w:link w:val="2"/>
    <w:semiHidden/>
    <w:qFormat/>
    <w:uiPriority w:val="9"/>
    <w:rPr>
      <w:rFonts w:asciiTheme="majorHAnsi" w:hAnsiTheme="majorHAnsi" w:eastAsiaTheme="majorEastAsia" w:cstheme="majorBidi"/>
      <w:b/>
      <w:bCs/>
      <w:sz w:val="32"/>
      <w:szCs w:val="32"/>
    </w:rPr>
  </w:style>
  <w:style w:type="character" w:customStyle="1" w:styleId="10">
    <w:name w:val="页眉 Char"/>
    <w:basedOn w:val="8"/>
    <w:link w:val="5"/>
    <w:qFormat/>
    <w:uiPriority w:val="99"/>
    <w:rPr>
      <w:rFonts w:ascii="Times New Roman" w:hAnsi="Times New Roman" w:eastAsia="宋体" w:cs="Droid Sans"/>
      <w:sz w:val="18"/>
      <w:szCs w:val="18"/>
    </w:rPr>
  </w:style>
  <w:style w:type="character" w:customStyle="1" w:styleId="11">
    <w:name w:val="页脚 Char"/>
    <w:basedOn w:val="8"/>
    <w:link w:val="4"/>
    <w:qFormat/>
    <w:uiPriority w:val="99"/>
    <w:rPr>
      <w:rFonts w:ascii="Times New Roman" w:hAnsi="Times New Roman" w:eastAsia="宋体" w:cs="Droid Sans"/>
      <w:sz w:val="18"/>
      <w:szCs w:val="18"/>
    </w:rPr>
  </w:style>
  <w:style w:type="character" w:customStyle="1" w:styleId="12">
    <w:name w:val="Book Title"/>
    <w:basedOn w:val="8"/>
    <w:qFormat/>
    <w:uiPriority w:val="33"/>
    <w:rPr>
      <w:b/>
      <w:bCs/>
      <w:smallCaps/>
      <w:spacing w:val="5"/>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492</Words>
  <Characters>2807</Characters>
  <Lines>23</Lines>
  <Paragraphs>6</Paragraphs>
  <TotalTime>1</TotalTime>
  <ScaleCrop>false</ScaleCrop>
  <LinksUpToDate>false</LinksUpToDate>
  <CharactersWithSpaces>3293</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2022-02-22T01:17:00Z</dcterms:created>
  <dc:creator>lenovo</dc:creator>
  <cp:lastModifiedBy>ceshi</cp:lastModifiedBy>
  <dcterms:modified xsi:type="dcterms:W3CDTF">2022-02-28T17:37:40Z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