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cs="Times New Roman"/>
          <w:b/>
          <w:sz w:val="32"/>
          <w:szCs w:val="32"/>
        </w:rPr>
      </w:pPr>
      <w:r>
        <w:rPr>
          <w:rFonts w:hint="eastAsia" w:ascii="仿宋_GB2312" w:eastAsia="仿宋_GB2312" w:cs="Times New Roman"/>
          <w:b/>
          <w:sz w:val="32"/>
          <w:szCs w:val="32"/>
        </w:rPr>
        <w:t>北京古代建筑博物馆202</w:t>
      </w:r>
      <w:r>
        <w:rPr>
          <w:rFonts w:ascii="仿宋_GB2312" w:eastAsia="仿宋_GB2312" w:cs="Times New Roman"/>
          <w:b/>
          <w:sz w:val="32"/>
          <w:szCs w:val="32"/>
        </w:rPr>
        <w:t>1</w:t>
      </w:r>
      <w:r>
        <w:rPr>
          <w:rFonts w:hint="eastAsia" w:ascii="仿宋_GB2312" w:eastAsia="仿宋_GB2312" w:cs="Times New Roman"/>
          <w:b/>
          <w:sz w:val="32"/>
          <w:szCs w:val="32"/>
        </w:rPr>
        <w:t>年财政预算信息</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w:t>
      </w:r>
      <w:r>
        <w:rPr>
          <w:rFonts w:ascii="仿宋_GB2312" w:eastAsia="仿宋_GB2312"/>
          <w:color w:val="000000"/>
          <w:sz w:val="32"/>
          <w:szCs w:val="32"/>
        </w:rPr>
        <w:t>1</w:t>
      </w:r>
      <w:r>
        <w:rPr>
          <w:rFonts w:hint="eastAsia" w:ascii="仿宋_GB2312" w:eastAsia="仿宋_GB2312"/>
          <w:color w:val="000000"/>
          <w:sz w:val="32"/>
          <w:szCs w:val="32"/>
        </w:rPr>
        <w:t>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w:t>
      </w:r>
      <w:r>
        <w:rPr>
          <w:rFonts w:ascii="仿宋_GB2312" w:eastAsia="仿宋_GB2312"/>
          <w:color w:val="000000"/>
          <w:sz w:val="32"/>
          <w:szCs w:val="32"/>
        </w:rPr>
        <w:t>1</w:t>
      </w:r>
      <w:r>
        <w:rPr>
          <w:rFonts w:hint="eastAsia" w:ascii="仿宋_GB2312" w:eastAsia="仿宋_GB2312"/>
          <w:color w:val="000000"/>
          <w:sz w:val="32"/>
          <w:szCs w:val="32"/>
        </w:rPr>
        <w:t>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w:t>
      </w:r>
      <w:r>
        <w:rPr>
          <w:rFonts w:ascii="仿宋_GB2312" w:eastAsia="仿宋_GB2312"/>
          <w:color w:val="000000"/>
          <w:sz w:val="32"/>
          <w:szCs w:val="32"/>
        </w:rPr>
        <w:t>1</w:t>
      </w:r>
      <w:r>
        <w:rPr>
          <w:rFonts w:hint="eastAsia" w:ascii="仿宋_GB2312" w:eastAsia="仿宋_GB2312"/>
          <w:color w:val="000000"/>
          <w:sz w:val="32"/>
          <w:szCs w:val="32"/>
        </w:rPr>
        <w:t>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二、收入总表    </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三、支出总表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四、政府采购预算明细表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五、财政拨款收支总表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六、一般公共预算财政拨款支出表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七、一般公共预算财政拨款基本支出表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八、一般公共预算财政拨款项目支出表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十一、财政拨款（含一般公共预算和政府性基金预算）“三公”经费支出表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十三、项目支出绩效目标申报表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spacing w:line="560" w:lineRule="exact"/>
        <w:jc w:val="center"/>
        <w:rPr>
          <w:rFonts w:ascii="黑体" w:hAnsi="黑体" w:eastAsia="黑体" w:cstheme="minorBidi"/>
          <w:sz w:val="36"/>
          <w:szCs w:val="36"/>
        </w:rPr>
      </w:pPr>
      <w:r>
        <w:rPr>
          <w:rFonts w:hint="eastAsia" w:ascii="黑体" w:hAnsi="黑体" w:eastAsia="黑体" w:cstheme="minorBidi"/>
          <w:sz w:val="36"/>
          <w:szCs w:val="36"/>
        </w:rPr>
        <w:t>第一部分  2021年北京古代建筑博物馆预算情况说明</w:t>
      </w:r>
    </w:p>
    <w:p>
      <w:pPr>
        <w:spacing w:line="360" w:lineRule="auto"/>
        <w:rPr>
          <w:rFonts w:ascii="仿宋_GB2312" w:eastAsia="仿宋_GB2312"/>
          <w:color w:val="000000"/>
          <w:sz w:val="32"/>
          <w:szCs w:val="32"/>
        </w:rPr>
      </w:pP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一、单位基本情况</w:t>
      </w:r>
    </w:p>
    <w:p>
      <w:pPr>
        <w:ind w:firstLine="555"/>
        <w:rPr>
          <w:rFonts w:ascii="仿宋_GB2312" w:hAnsi="楷体" w:eastAsia="仿宋_GB2312"/>
          <w:sz w:val="32"/>
          <w:szCs w:val="32"/>
        </w:rPr>
      </w:pPr>
      <w:r>
        <w:rPr>
          <w:rFonts w:hint="eastAsia" w:ascii="仿宋_GB2312" w:hAnsi="楷体" w:eastAsia="仿宋_GB2312"/>
          <w:sz w:val="32"/>
          <w:szCs w:val="32"/>
        </w:rPr>
        <w:t>（一）部门机构设置、职责</w:t>
      </w:r>
    </w:p>
    <w:p>
      <w:pPr>
        <w:ind w:firstLine="640" w:firstLineChars="200"/>
        <w:rPr>
          <w:rFonts w:ascii="仿宋_GB2312" w:hAnsi="楷体" w:eastAsia="仿宋_GB2312"/>
          <w:sz w:val="32"/>
          <w:szCs w:val="32"/>
        </w:rPr>
      </w:pPr>
      <w:r>
        <w:rPr>
          <w:rFonts w:hint="eastAsia" w:ascii="仿宋_GB2312" w:hAnsi="楷体" w:eastAsia="仿宋_GB2312"/>
          <w:sz w:val="32"/>
          <w:szCs w:val="32"/>
        </w:rPr>
        <w:t>1．北京古代建筑博物馆机构设置</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北京古代筑博物馆机构数量：1个。馆内下设</w:t>
      </w:r>
      <w:r>
        <w:rPr>
          <w:rFonts w:ascii="仿宋_GB2312" w:eastAsia="仿宋_GB2312"/>
          <w:color w:val="000000"/>
          <w:sz w:val="32"/>
          <w:szCs w:val="32"/>
        </w:rPr>
        <w:t>五个部门：办公室、人保部、文</w:t>
      </w:r>
      <w:r>
        <w:rPr>
          <w:rFonts w:hint="eastAsia" w:ascii="仿宋_GB2312" w:eastAsia="仿宋_GB2312"/>
          <w:color w:val="000000"/>
          <w:sz w:val="32"/>
          <w:szCs w:val="32"/>
        </w:rPr>
        <w:t>物</w:t>
      </w:r>
      <w:r>
        <w:rPr>
          <w:rFonts w:ascii="仿宋_GB2312" w:eastAsia="仿宋_GB2312"/>
          <w:color w:val="000000"/>
          <w:sz w:val="32"/>
          <w:szCs w:val="32"/>
        </w:rPr>
        <w:t>保护与发展部、</w:t>
      </w:r>
      <w:r>
        <w:rPr>
          <w:rFonts w:hint="eastAsia" w:ascii="仿宋_GB2312" w:eastAsia="仿宋_GB2312"/>
          <w:color w:val="000000"/>
          <w:sz w:val="32"/>
          <w:szCs w:val="32"/>
        </w:rPr>
        <w:t>社教</w:t>
      </w:r>
      <w:r>
        <w:rPr>
          <w:rFonts w:ascii="仿宋_GB2312" w:eastAsia="仿宋_GB2312"/>
          <w:color w:val="000000"/>
          <w:sz w:val="32"/>
          <w:szCs w:val="32"/>
        </w:rPr>
        <w:t>与信息部、保管陈列部。</w:t>
      </w:r>
    </w:p>
    <w:p>
      <w:pPr>
        <w:ind w:firstLine="640" w:firstLineChars="200"/>
        <w:rPr>
          <w:rFonts w:ascii="仿宋_GB2312" w:hAnsi="Calibri" w:eastAsia="仿宋_GB2312" w:cs="Times New Roman"/>
          <w:sz w:val="32"/>
          <w:szCs w:val="32"/>
        </w:rPr>
      </w:pPr>
      <w:r>
        <w:rPr>
          <w:rFonts w:hint="eastAsia" w:ascii="仿宋_GB2312" w:hAnsi="Calibri" w:eastAsia="仿宋_GB2312" w:cs="Times New Roman"/>
          <w:sz w:val="32"/>
          <w:szCs w:val="32"/>
        </w:rPr>
        <w:t>上级业务主管部门为北京市文物局。</w:t>
      </w:r>
    </w:p>
    <w:p>
      <w:pPr>
        <w:ind w:firstLine="640" w:firstLineChars="200"/>
        <w:rPr>
          <w:rFonts w:ascii="仿宋_GB2312" w:hAnsi="Calibri" w:eastAsia="仿宋_GB2312"/>
          <w:sz w:val="32"/>
          <w:szCs w:val="32"/>
        </w:rPr>
      </w:pPr>
      <w:r>
        <w:rPr>
          <w:rFonts w:hint="eastAsia" w:ascii="仿宋_GB2312" w:hAnsi="Calibri" w:eastAsia="仿宋_GB2312"/>
          <w:sz w:val="32"/>
          <w:szCs w:val="32"/>
        </w:rPr>
        <w:t>2.北京</w:t>
      </w:r>
      <w:r>
        <w:rPr>
          <w:rFonts w:hint="eastAsia" w:ascii="仿宋_GB2312" w:hAnsi="楷体" w:eastAsia="仿宋_GB2312"/>
          <w:sz w:val="32"/>
          <w:szCs w:val="32"/>
        </w:rPr>
        <w:t>古代建筑博物馆</w:t>
      </w:r>
      <w:r>
        <w:rPr>
          <w:rFonts w:hint="eastAsia" w:ascii="仿宋_GB2312" w:hAnsi="Calibri" w:eastAsia="仿宋_GB2312"/>
          <w:sz w:val="32"/>
          <w:szCs w:val="32"/>
        </w:rPr>
        <w:t xml:space="preserve">的主要职能 </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主要职能：文物古建征集、保管，文物古建展览、宣传、讲解，历史知识普及，文物信息网络建立，中国古代建筑历史研究。</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（二）人员构成情况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北京古代建筑博物馆事业编制41人，实际37人；聘用人员（其他聘用人员</w:t>
      </w:r>
      <w:r>
        <w:rPr>
          <w:rFonts w:ascii="仿宋_GB2312" w:eastAsia="仿宋_GB2312"/>
          <w:color w:val="000000"/>
          <w:sz w:val="32"/>
          <w:szCs w:val="32"/>
        </w:rPr>
        <w:t>—</w:t>
      </w:r>
      <w:r>
        <w:rPr>
          <w:rFonts w:hint="eastAsia" w:ascii="仿宋_GB2312" w:eastAsia="仿宋_GB2312"/>
          <w:color w:val="000000"/>
          <w:sz w:val="32"/>
          <w:szCs w:val="32"/>
        </w:rPr>
        <w:t>劳务派遣）19人。离退休人员28人，其中：离休0人，退休28人。</w:t>
      </w:r>
      <w:r>
        <w:rPr>
          <w:rFonts w:hint="eastAsia" w:ascii="仿宋_GB2312" w:eastAsia="仿宋_GB2312"/>
          <w:color w:val="000000"/>
          <w:sz w:val="32"/>
          <w:szCs w:val="32"/>
        </w:rPr>
        <w:tab/>
      </w:r>
    </w:p>
    <w:p>
      <w:pPr>
        <w:spacing w:line="560" w:lineRule="exact"/>
        <w:rPr>
          <w:rFonts w:ascii="黑体" w:hAnsi="黑体" w:eastAsia="黑体"/>
          <w:color w:val="000000"/>
          <w:sz w:val="32"/>
          <w:szCs w:val="32"/>
        </w:rPr>
      </w:pPr>
      <w:r>
        <w:rPr>
          <w:rFonts w:hint="eastAsia" w:ascii="仿宋_GB2312" w:eastAsia="仿宋_GB2312"/>
          <w:color w:val="000000"/>
          <w:sz w:val="32"/>
          <w:szCs w:val="32"/>
        </w:rPr>
        <w:t xml:space="preserve">    </w:t>
      </w:r>
      <w:r>
        <w:rPr>
          <w:rFonts w:hint="eastAsia" w:ascii="黑体" w:hAnsi="黑体" w:eastAsia="黑体"/>
          <w:color w:val="000000"/>
          <w:sz w:val="32"/>
          <w:szCs w:val="32"/>
        </w:rPr>
        <w:t>二、2021年收入及支出总体情况</w:t>
      </w:r>
    </w:p>
    <w:p>
      <w:pPr>
        <w:pStyle w:val="10"/>
        <w:spacing w:line="560" w:lineRule="exact"/>
        <w:ind w:left="-141" w:leftChars="-67" w:firstLine="640"/>
        <w:rPr>
          <w:rFonts w:ascii="仿宋_GB2312" w:hAnsi="黑体" w:eastAsia="仿宋_GB2312"/>
          <w:sz w:val="32"/>
          <w:szCs w:val="32"/>
        </w:rPr>
      </w:pPr>
      <w:r>
        <w:rPr>
          <w:rFonts w:hint="eastAsia" w:ascii="仿宋_GB2312" w:hAnsi="黑体" w:eastAsia="仿宋_GB2312"/>
          <w:sz w:val="32"/>
          <w:szCs w:val="32"/>
        </w:rPr>
        <w:t>（一）收入预算说明</w:t>
      </w:r>
    </w:p>
    <w:p>
      <w:pPr>
        <w:pStyle w:val="10"/>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2021年收入预算1735.05万元，比2020年1911.14万元减少176.09万元，下降9.2</w:t>
      </w:r>
      <w:r>
        <w:rPr>
          <w:rFonts w:ascii="仿宋_GB2312" w:eastAsia="仿宋_GB2312"/>
          <w:color w:val="000000"/>
          <w:sz w:val="32"/>
          <w:szCs w:val="32"/>
        </w:rPr>
        <w:t>1</w:t>
      </w:r>
      <w:r>
        <w:rPr>
          <w:rFonts w:hint="eastAsia" w:ascii="仿宋_GB2312" w:eastAsia="仿宋_GB2312"/>
          <w:color w:val="000000"/>
          <w:sz w:val="32"/>
          <w:szCs w:val="32"/>
        </w:rPr>
        <w:t>%。其中：财政拨款1660.78万元,比2020年1841.19万元减少180.41万元，下降9.80%；减少原因主要</w:t>
      </w:r>
      <w:r>
        <w:rPr>
          <w:rFonts w:ascii="仿宋_GB2312" w:eastAsia="仿宋_GB2312"/>
          <w:color w:val="000000"/>
          <w:sz w:val="32"/>
          <w:szCs w:val="32"/>
        </w:rPr>
        <w:t>为</w:t>
      </w:r>
      <w:r>
        <w:rPr>
          <w:rFonts w:hint="eastAsia" w:ascii="仿宋_GB2312" w:hAnsi="Calibri" w:eastAsia="仿宋_GB2312" w:cs="Times New Roman"/>
          <w:sz w:val="32"/>
          <w:szCs w:val="32"/>
        </w:rPr>
        <w:t>落实政府过紧日子的要求，厉行勤俭节约，压缩一般性支出</w:t>
      </w:r>
      <w:r>
        <w:rPr>
          <w:rFonts w:hint="eastAsia" w:ascii="仿宋_GB2312" w:eastAsia="仿宋_GB2312"/>
          <w:color w:val="000000"/>
          <w:sz w:val="32"/>
          <w:szCs w:val="32"/>
        </w:rPr>
        <w:t>。统筹使用结余资金安排预算41.27万元,比2020年42.98万元,减少1.71万元，下降3.98%；</w:t>
      </w:r>
      <w:r>
        <w:rPr>
          <w:rFonts w:hint="eastAsia" w:ascii="仿宋_GB2312" w:hAnsi="仿宋" w:eastAsia="仿宋_GB2312" w:cs="Times New Roman"/>
          <w:sz w:val="32"/>
          <w:szCs w:val="32"/>
        </w:rPr>
        <w:t>主要原因是积极落实盘活单位结余资金的要求，加大结余资金的安排。</w:t>
      </w:r>
      <w:r>
        <w:rPr>
          <w:rFonts w:hint="eastAsia" w:ascii="仿宋_GB2312" w:eastAsia="仿宋_GB2312"/>
          <w:color w:val="000000"/>
          <w:sz w:val="32"/>
          <w:szCs w:val="32"/>
        </w:rPr>
        <w:t>其他资金33万元,比2020年26.97万元,增加6.03万元，增加2.24%。主要原因是门票收入增加。</w:t>
      </w:r>
    </w:p>
    <w:p>
      <w:pPr>
        <w:ind w:firstLine="640" w:firstLineChars="200"/>
        <w:rPr>
          <w:rFonts w:ascii="仿宋_GB2312" w:eastAsia="仿宋_GB2312"/>
          <w:sz w:val="32"/>
          <w:szCs w:val="32"/>
        </w:rPr>
      </w:pPr>
      <w:r>
        <w:rPr>
          <w:rFonts w:hint="eastAsia" w:ascii="仿宋_GB2312" w:eastAsia="仿宋_GB2312"/>
          <w:sz w:val="32"/>
          <w:szCs w:val="32"/>
        </w:rPr>
        <w:t>其他资金收入主要包括：</w:t>
      </w:r>
    </w:p>
    <w:p>
      <w:pPr>
        <w:ind w:left="567" w:leftChars="270"/>
        <w:rPr>
          <w:rFonts w:ascii="仿宋_GB2312" w:hAnsi="Calibri" w:eastAsia="仿宋_GB2312"/>
          <w:sz w:val="32"/>
          <w:szCs w:val="32"/>
        </w:rPr>
      </w:pPr>
      <w:r>
        <w:rPr>
          <w:rFonts w:hint="eastAsia" w:ascii="仿宋_GB2312" w:hAnsi="Calibri" w:eastAsia="仿宋_GB2312"/>
          <w:sz w:val="32"/>
          <w:szCs w:val="32"/>
        </w:rPr>
        <w:t>事业收入：25万元（主要为门票收入）</w:t>
      </w:r>
    </w:p>
    <w:p>
      <w:pPr>
        <w:ind w:left="567" w:leftChars="270"/>
        <w:rPr>
          <w:rFonts w:ascii="仿宋_GB2312" w:hAnsi="Calibri" w:eastAsia="仿宋_GB2312"/>
          <w:sz w:val="32"/>
          <w:szCs w:val="32"/>
        </w:rPr>
      </w:pPr>
      <w:r>
        <w:rPr>
          <w:rFonts w:hint="eastAsia" w:ascii="仿宋_GB2312" w:hAnsi="Calibri" w:eastAsia="仿宋_GB2312"/>
          <w:sz w:val="32"/>
          <w:szCs w:val="32"/>
        </w:rPr>
        <w:t>其他收入：8万元（包括利息收入、活动</w:t>
      </w:r>
      <w:r>
        <w:rPr>
          <w:rFonts w:ascii="仿宋_GB2312" w:hAnsi="Calibri" w:eastAsia="仿宋_GB2312"/>
          <w:sz w:val="32"/>
          <w:szCs w:val="32"/>
        </w:rPr>
        <w:t>费</w:t>
      </w:r>
      <w:r>
        <w:rPr>
          <w:rFonts w:hint="eastAsia" w:ascii="仿宋_GB2312" w:hAnsi="Calibri" w:eastAsia="仿宋_GB2312"/>
          <w:sz w:val="32"/>
          <w:szCs w:val="32"/>
        </w:rPr>
        <w:t>收入等）</w:t>
      </w:r>
    </w:p>
    <w:p>
      <w:pPr>
        <w:spacing w:line="560" w:lineRule="exact"/>
        <w:ind w:left="709"/>
        <w:rPr>
          <w:rFonts w:ascii="仿宋_GB2312" w:hAnsi="黑体" w:eastAsia="仿宋_GB2312"/>
          <w:sz w:val="32"/>
          <w:szCs w:val="32"/>
        </w:rPr>
      </w:pPr>
      <w:r>
        <w:rPr>
          <w:rFonts w:hint="eastAsia" w:ascii="仿宋_GB2312" w:hAnsi="黑体" w:eastAsia="仿宋_GB2312"/>
          <w:sz w:val="32"/>
          <w:szCs w:val="32"/>
        </w:rPr>
        <w:t>（二）支出预算说明</w:t>
      </w:r>
    </w:p>
    <w:p>
      <w:pPr>
        <w:spacing w:line="560" w:lineRule="exact"/>
        <w:ind w:firstLine="620" w:firstLineChars="194"/>
        <w:rPr>
          <w:rFonts w:ascii="仿宋_GB2312" w:eastAsia="仿宋_GB2312"/>
          <w:color w:val="000000"/>
          <w:sz w:val="32"/>
          <w:szCs w:val="32"/>
        </w:rPr>
      </w:pPr>
      <w:r>
        <w:rPr>
          <w:rFonts w:hint="eastAsia" w:ascii="仿宋_GB2312" w:eastAsia="仿宋_GB2312"/>
          <w:color w:val="000000"/>
          <w:sz w:val="32"/>
          <w:szCs w:val="32"/>
        </w:rPr>
        <w:t>1.基本支出预算1400.06万元，占总支出预算80.69%，比2020年1335.63万元增加64.43万元，增长4.82%。主要</w:t>
      </w:r>
      <w:r>
        <w:rPr>
          <w:rFonts w:ascii="仿宋_GB2312" w:eastAsia="仿宋_GB2312"/>
          <w:color w:val="000000"/>
          <w:sz w:val="32"/>
          <w:szCs w:val="32"/>
        </w:rPr>
        <w:t>原因为</w:t>
      </w:r>
      <w:r>
        <w:rPr>
          <w:rFonts w:hint="eastAsia" w:ascii="仿宋_GB2312" w:eastAsia="仿宋_GB2312"/>
          <w:color w:val="000000"/>
          <w:sz w:val="32"/>
          <w:szCs w:val="32"/>
        </w:rPr>
        <w:t>在职</w:t>
      </w:r>
      <w:r>
        <w:rPr>
          <w:rFonts w:hint="eastAsia" w:ascii="仿宋_GB2312" w:eastAsia="仿宋_GB2312"/>
          <w:color w:val="000000"/>
          <w:sz w:val="32"/>
          <w:szCs w:val="32"/>
          <w:lang w:eastAsia="zh-CN"/>
        </w:rPr>
        <w:t>人员</w:t>
      </w:r>
      <w:bookmarkStart w:id="0" w:name="_GoBack"/>
      <w:bookmarkEnd w:id="0"/>
      <w:r>
        <w:rPr>
          <w:rFonts w:ascii="仿宋_GB2312" w:eastAsia="仿宋_GB2312"/>
          <w:color w:val="000000"/>
          <w:sz w:val="32"/>
          <w:szCs w:val="32"/>
        </w:rPr>
        <w:t>增加</w:t>
      </w:r>
      <w:r>
        <w:rPr>
          <w:rFonts w:hint="eastAsia" w:ascii="仿宋_GB2312" w:eastAsia="仿宋_GB2312"/>
          <w:color w:val="000000"/>
          <w:sz w:val="32"/>
          <w:szCs w:val="32"/>
        </w:rPr>
        <w:t>，</w:t>
      </w:r>
      <w:r>
        <w:rPr>
          <w:rFonts w:ascii="仿宋_GB2312" w:eastAsia="仿宋_GB2312"/>
          <w:color w:val="000000"/>
          <w:sz w:val="32"/>
          <w:szCs w:val="32"/>
        </w:rPr>
        <w:t>故基本经费相应增加。</w:t>
      </w:r>
    </w:p>
    <w:p>
      <w:pPr>
        <w:pStyle w:val="10"/>
        <w:spacing w:line="560" w:lineRule="exact"/>
        <w:ind w:firstLine="566" w:firstLineChars="177"/>
        <w:rPr>
          <w:rFonts w:ascii="仿宋_GB2312" w:eastAsia="仿宋_GB2312"/>
          <w:color w:val="000000"/>
          <w:sz w:val="32"/>
          <w:szCs w:val="32"/>
        </w:rPr>
      </w:pPr>
      <w:r>
        <w:rPr>
          <w:rFonts w:hint="eastAsia" w:ascii="仿宋_GB2312" w:eastAsia="仿宋_GB2312"/>
          <w:color w:val="000000"/>
          <w:sz w:val="32"/>
          <w:szCs w:val="32"/>
        </w:rPr>
        <w:t>2.项目支出预算334.99万元，比2020年575.51万元减少</w:t>
      </w:r>
      <w:r>
        <w:rPr>
          <w:rFonts w:ascii="仿宋_GB2312" w:eastAsia="仿宋_GB2312"/>
          <w:color w:val="000000"/>
          <w:sz w:val="32"/>
          <w:szCs w:val="32"/>
        </w:rPr>
        <w:t>240.52</w:t>
      </w:r>
      <w:r>
        <w:rPr>
          <w:rFonts w:hint="eastAsia" w:ascii="仿宋_GB2312" w:eastAsia="仿宋_GB2312"/>
          <w:color w:val="000000"/>
          <w:sz w:val="32"/>
          <w:szCs w:val="32"/>
        </w:rPr>
        <w:t>万元，下降41.79%，减少原因主要</w:t>
      </w:r>
      <w:r>
        <w:rPr>
          <w:rFonts w:ascii="仿宋_GB2312" w:eastAsia="仿宋_GB2312"/>
          <w:color w:val="000000"/>
          <w:sz w:val="32"/>
          <w:szCs w:val="32"/>
        </w:rPr>
        <w:t>为</w:t>
      </w:r>
      <w:r>
        <w:rPr>
          <w:rFonts w:hint="eastAsia" w:ascii="仿宋_GB2312" w:hAnsi="Calibri" w:eastAsia="仿宋_GB2312" w:cs="Times New Roman"/>
          <w:sz w:val="32"/>
          <w:szCs w:val="32"/>
        </w:rPr>
        <w:t>落实政府过紧日子的要求，厉行勤俭节约，压缩一般性支出</w:t>
      </w:r>
      <w:r>
        <w:rPr>
          <w:rFonts w:hint="eastAsia" w:ascii="仿宋_GB2312" w:eastAsia="仿宋_GB2312"/>
          <w:color w:val="000000"/>
          <w:sz w:val="32"/>
          <w:szCs w:val="32"/>
        </w:rPr>
        <w:t>。</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三、主要支出情况：</w:t>
      </w:r>
    </w:p>
    <w:p>
      <w:pPr>
        <w:ind w:firstLine="640" w:firstLineChars="200"/>
        <w:rPr>
          <w:rFonts w:ascii="仿宋_GB2312" w:eastAsia="仿宋_GB2312"/>
          <w:sz w:val="32"/>
          <w:szCs w:val="32"/>
        </w:rPr>
      </w:pPr>
      <w:r>
        <w:rPr>
          <w:rFonts w:hint="eastAsia" w:ascii="仿宋_GB2312" w:eastAsia="仿宋_GB2312"/>
          <w:sz w:val="32"/>
          <w:szCs w:val="32"/>
        </w:rPr>
        <w:t>2021年，重点支出方向如下：</w:t>
      </w:r>
    </w:p>
    <w:p>
      <w:pPr>
        <w:snapToGrid w:val="0"/>
        <w:spacing w:line="520" w:lineRule="exact"/>
        <w:ind w:firstLine="566" w:firstLineChars="177"/>
        <w:rPr>
          <w:rFonts w:ascii="仿宋_GB2312" w:hAnsi="仿宋" w:eastAsia="仿宋_GB2312" w:cs="Times New Roman"/>
          <w:sz w:val="32"/>
          <w:szCs w:val="32"/>
        </w:rPr>
      </w:pPr>
      <w:r>
        <w:rPr>
          <w:rFonts w:hint="eastAsia" w:ascii="仿宋_GB2312" w:eastAsia="仿宋_GB2312"/>
          <w:sz w:val="32"/>
          <w:szCs w:val="32"/>
        </w:rPr>
        <w:t>（一）北京古代建筑博物馆利用先农坛地区的整体文化资源，</w:t>
      </w:r>
      <w:r>
        <w:rPr>
          <w:rFonts w:hint="eastAsia" w:ascii="仿宋_GB2312" w:hAnsi="仿宋" w:eastAsia="仿宋_GB2312" w:cs="Times New Roman"/>
          <w:sz w:val="32"/>
          <w:szCs w:val="32"/>
        </w:rPr>
        <w:t>借助</w:t>
      </w:r>
      <w:r>
        <w:rPr>
          <w:rFonts w:ascii="仿宋_GB2312" w:hAnsi="仿宋" w:eastAsia="仿宋_GB2312" w:cs="Times New Roman"/>
          <w:sz w:val="32"/>
          <w:szCs w:val="32"/>
        </w:rPr>
        <w:t>北京中轴线申遗</w:t>
      </w:r>
      <w:r>
        <w:rPr>
          <w:rFonts w:hint="eastAsia" w:ascii="仿宋_GB2312" w:hAnsi="仿宋" w:eastAsia="仿宋_GB2312" w:cs="Times New Roman"/>
          <w:sz w:val="32"/>
          <w:szCs w:val="32"/>
        </w:rPr>
        <w:t>、</w:t>
      </w:r>
      <w:r>
        <w:rPr>
          <w:rFonts w:ascii="仿宋_GB2312" w:hAnsi="仿宋" w:eastAsia="仿宋_GB2312" w:cs="Times New Roman"/>
          <w:sz w:val="32"/>
          <w:szCs w:val="32"/>
        </w:rPr>
        <w:t>北京先农坛建坛六百年等重大契机，</w:t>
      </w:r>
      <w:r>
        <w:rPr>
          <w:rFonts w:hint="eastAsia" w:ascii="仿宋_GB2312" w:hAnsi="仿宋" w:eastAsia="仿宋_GB2312" w:cs="Times New Roman"/>
          <w:sz w:val="32"/>
          <w:szCs w:val="32"/>
        </w:rPr>
        <w:t>202</w:t>
      </w:r>
      <w:r>
        <w:rPr>
          <w:rFonts w:ascii="仿宋_GB2312" w:hAnsi="仿宋" w:eastAsia="仿宋_GB2312" w:cs="Times New Roman"/>
          <w:sz w:val="32"/>
          <w:szCs w:val="32"/>
        </w:rPr>
        <w:t>1</w:t>
      </w:r>
      <w:r>
        <w:rPr>
          <w:rFonts w:hint="eastAsia" w:ascii="仿宋_GB2312" w:hAnsi="仿宋" w:eastAsia="仿宋_GB2312" w:cs="Times New Roman"/>
          <w:sz w:val="32"/>
          <w:szCs w:val="32"/>
        </w:rPr>
        <w:t>年我馆</w:t>
      </w:r>
      <w:r>
        <w:rPr>
          <w:rFonts w:hint="eastAsia" w:ascii="宋体" w:hAnsi="宋体" w:cs="Times New Roman"/>
          <w:sz w:val="30"/>
          <w:szCs w:val="30"/>
        </w:rPr>
        <w:t>继续</w:t>
      </w:r>
      <w:r>
        <w:rPr>
          <w:rFonts w:hint="eastAsia" w:ascii="仿宋_GB2312" w:hAnsi="仿宋" w:eastAsia="仿宋_GB2312" w:cs="Times New Roman"/>
          <w:sz w:val="32"/>
          <w:szCs w:val="32"/>
        </w:rPr>
        <w:t>开展了</w:t>
      </w:r>
      <w:r>
        <w:rPr>
          <w:rFonts w:ascii="仿宋_GB2312" w:hAnsi="仿宋" w:eastAsia="仿宋_GB2312" w:cs="Times New Roman"/>
          <w:sz w:val="32"/>
          <w:szCs w:val="32"/>
        </w:rPr>
        <w:t>北京先农坛农耕系列文化活动，</w:t>
      </w:r>
      <w:r>
        <w:rPr>
          <w:rFonts w:hint="eastAsia" w:ascii="仿宋_GB2312" w:hAnsi="仿宋" w:eastAsia="仿宋_GB2312" w:cs="Times New Roman"/>
          <w:sz w:val="32"/>
          <w:szCs w:val="32"/>
        </w:rPr>
        <w:t>传播</w:t>
      </w:r>
      <w:r>
        <w:rPr>
          <w:rFonts w:ascii="仿宋_GB2312" w:hAnsi="仿宋" w:eastAsia="仿宋_GB2312" w:cs="Times New Roman"/>
          <w:sz w:val="32"/>
          <w:szCs w:val="32"/>
        </w:rPr>
        <w:t>中国优秀农耕文化。</w:t>
      </w:r>
    </w:p>
    <w:p>
      <w:pPr>
        <w:spacing w:line="560" w:lineRule="exact"/>
        <w:ind w:firstLine="566" w:firstLineChars="177"/>
        <w:rPr>
          <w:rFonts w:hint="eastAsia" w:ascii="仿宋_GB2312" w:hAnsi="仿宋" w:eastAsia="仿宋_GB2312" w:cs="Times New Roman"/>
          <w:sz w:val="32"/>
          <w:szCs w:val="32"/>
        </w:rPr>
      </w:pPr>
      <w:r>
        <w:rPr>
          <w:rFonts w:hint="eastAsia" w:ascii="仿宋_GB2312" w:eastAsia="仿宋_GB2312"/>
          <w:sz w:val="32"/>
          <w:szCs w:val="32"/>
        </w:rPr>
        <w:t>（二）在中</w:t>
      </w:r>
      <w:r>
        <w:rPr>
          <w:rFonts w:ascii="仿宋_GB2312" w:eastAsia="仿宋_GB2312"/>
          <w:sz w:val="32"/>
          <w:szCs w:val="32"/>
        </w:rPr>
        <w:t>轴线申遗工作中，先农坛作为核心遗产地，其开放利用是重点工作</w:t>
      </w:r>
      <w:r>
        <w:rPr>
          <w:rFonts w:hint="eastAsia" w:ascii="仿宋_GB2312" w:hAnsi="仿宋" w:eastAsia="仿宋_GB2312" w:cs="Times New Roman"/>
          <w:sz w:val="32"/>
          <w:szCs w:val="32"/>
        </w:rPr>
        <w:t>。2021年</w:t>
      </w:r>
      <w:r>
        <w:rPr>
          <w:rFonts w:ascii="仿宋_GB2312" w:hAnsi="仿宋" w:eastAsia="仿宋_GB2312" w:cs="Times New Roman"/>
          <w:sz w:val="32"/>
          <w:szCs w:val="32"/>
        </w:rPr>
        <w:t>我馆将就展陈环境优化及文物库房设施改善开展工作。</w:t>
      </w:r>
    </w:p>
    <w:p>
      <w:pPr>
        <w:spacing w:line="560" w:lineRule="exact"/>
        <w:ind w:firstLine="566" w:firstLineChars="177"/>
        <w:rPr>
          <w:rFonts w:ascii="仿宋_GB2312" w:hAnsi="仿宋" w:eastAsia="仿宋_GB2312" w:cs="Times New Roman"/>
          <w:sz w:val="32"/>
          <w:szCs w:val="32"/>
        </w:rPr>
      </w:pPr>
      <w:r>
        <w:rPr>
          <w:rFonts w:hint="eastAsia" w:ascii="仿宋_GB2312" w:hAnsi="仿宋" w:eastAsia="仿宋_GB2312" w:cs="Times New Roman"/>
          <w:sz w:val="32"/>
          <w:szCs w:val="32"/>
        </w:rPr>
        <w:t>（三）为</w:t>
      </w:r>
      <w:r>
        <w:rPr>
          <w:rFonts w:ascii="仿宋_GB2312" w:hAnsi="仿宋" w:eastAsia="仿宋_GB2312" w:cs="Times New Roman"/>
          <w:sz w:val="32"/>
          <w:szCs w:val="32"/>
        </w:rPr>
        <w:t>落实文物安全</w:t>
      </w:r>
      <w:r>
        <w:rPr>
          <w:rFonts w:hint="eastAsia" w:ascii="仿宋_GB2312" w:hAnsi="仿宋" w:eastAsia="仿宋_GB2312" w:cs="Times New Roman"/>
          <w:sz w:val="32"/>
          <w:szCs w:val="32"/>
        </w:rPr>
        <w:t>长效</w:t>
      </w:r>
      <w:r>
        <w:rPr>
          <w:rFonts w:ascii="仿宋_GB2312" w:hAnsi="仿宋" w:eastAsia="仿宋_GB2312" w:cs="Times New Roman"/>
          <w:sz w:val="32"/>
          <w:szCs w:val="32"/>
        </w:rPr>
        <w:t>机制，</w:t>
      </w:r>
      <w:r>
        <w:rPr>
          <w:rFonts w:hint="eastAsia" w:ascii="仿宋_GB2312" w:hAnsi="仿宋" w:eastAsia="仿宋_GB2312" w:cs="Times New Roman"/>
          <w:sz w:val="32"/>
          <w:szCs w:val="32"/>
        </w:rPr>
        <w:t>确保</w:t>
      </w:r>
      <w:r>
        <w:rPr>
          <w:rFonts w:ascii="仿宋_GB2312" w:hAnsi="仿宋" w:eastAsia="仿宋_GB2312" w:cs="Times New Roman"/>
          <w:sz w:val="32"/>
          <w:szCs w:val="32"/>
        </w:rPr>
        <w:t>安保</w:t>
      </w:r>
      <w:r>
        <w:rPr>
          <w:rFonts w:hint="eastAsia" w:ascii="仿宋_GB2312" w:hAnsi="仿宋" w:eastAsia="仿宋_GB2312" w:cs="Times New Roman"/>
          <w:sz w:val="32"/>
          <w:szCs w:val="32"/>
        </w:rPr>
        <w:t>力量</w:t>
      </w:r>
      <w:r>
        <w:rPr>
          <w:rFonts w:ascii="仿宋_GB2312" w:hAnsi="仿宋" w:eastAsia="仿宋_GB2312" w:cs="Times New Roman"/>
          <w:sz w:val="32"/>
          <w:szCs w:val="32"/>
        </w:rPr>
        <w:t>充足，</w:t>
      </w:r>
      <w:r>
        <w:rPr>
          <w:rFonts w:hint="eastAsia" w:ascii="仿宋_GB2312" w:hAnsi="仿宋" w:eastAsia="仿宋_GB2312" w:cs="Times New Roman"/>
          <w:sz w:val="32"/>
          <w:szCs w:val="32"/>
        </w:rPr>
        <w:t>通过</w:t>
      </w:r>
      <w:r>
        <w:rPr>
          <w:rFonts w:ascii="仿宋_GB2312" w:hAnsi="仿宋" w:eastAsia="仿宋_GB2312" w:cs="Times New Roman"/>
          <w:sz w:val="32"/>
          <w:szCs w:val="32"/>
        </w:rPr>
        <w:t>安保人员社会化用工，加强安全保卫力度，保障博物馆的正常运行</w:t>
      </w:r>
      <w:r>
        <w:rPr>
          <w:rFonts w:hint="eastAsia" w:ascii="仿宋_GB2312" w:hAnsi="仿宋" w:eastAsia="仿宋_GB2312" w:cs="Times New Roman"/>
          <w:sz w:val="32"/>
          <w:szCs w:val="32"/>
        </w:rPr>
        <w:t>。</w:t>
      </w:r>
    </w:p>
    <w:p>
      <w:pPr>
        <w:spacing w:line="560" w:lineRule="exact"/>
        <w:ind w:firstLine="566" w:firstLineChars="177"/>
        <w:rPr>
          <w:rFonts w:ascii="黑体" w:hAnsi="黑体" w:eastAsia="黑体"/>
          <w:color w:val="000000"/>
          <w:sz w:val="32"/>
          <w:szCs w:val="32"/>
        </w:rPr>
      </w:pPr>
      <w:r>
        <w:rPr>
          <w:rFonts w:hint="eastAsia" w:ascii="黑体" w:hAnsi="黑体" w:eastAsia="黑体"/>
          <w:color w:val="000000"/>
          <w:sz w:val="32"/>
          <w:szCs w:val="32"/>
        </w:rPr>
        <w:t>四、单位“三公”经费财政拨款预算说明</w:t>
      </w:r>
    </w:p>
    <w:p>
      <w:pPr>
        <w:tabs>
          <w:tab w:val="left" w:pos="142"/>
        </w:tabs>
        <w:spacing w:line="560" w:lineRule="exact"/>
        <w:ind w:firstLine="800" w:firstLineChars="250"/>
        <w:rPr>
          <w:rFonts w:ascii="仿宋_GB2312" w:eastAsia="仿宋_GB2312"/>
          <w:color w:val="000000"/>
          <w:sz w:val="32"/>
          <w:szCs w:val="32"/>
        </w:rPr>
      </w:pPr>
      <w:r>
        <w:rPr>
          <w:rFonts w:hint="eastAsia" w:ascii="仿宋_GB2312" w:eastAsia="仿宋_GB2312"/>
          <w:color w:val="000000"/>
          <w:sz w:val="32"/>
          <w:szCs w:val="32"/>
        </w:rPr>
        <w:t>2021年"三公经费"财政拨款预算3.61万元。其中：</w:t>
      </w:r>
      <w:r>
        <w:rPr>
          <w:rFonts w:hint="eastAsia" w:ascii="仿宋_GB2312" w:eastAsia="仿宋_GB2312"/>
          <w:color w:val="000000"/>
          <w:sz w:val="32"/>
          <w:szCs w:val="32"/>
        </w:rPr>
        <w:tab/>
      </w:r>
      <w:r>
        <w:rPr>
          <w:rFonts w:hint="eastAsia" w:ascii="仿宋_GB2312" w:eastAsia="仿宋_GB2312"/>
          <w:color w:val="000000"/>
          <w:sz w:val="32"/>
          <w:szCs w:val="32"/>
        </w:rPr>
        <w:t>2021年"三公经费"财政拨款预算3.61万元。其中：</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1.因公出国（境）费用。2021年预算数0万元。</w:t>
      </w:r>
    </w:p>
    <w:p>
      <w:pPr>
        <w:spacing w:line="560" w:lineRule="exact"/>
        <w:ind w:firstLine="620" w:firstLineChars="194"/>
        <w:rPr>
          <w:rFonts w:ascii="仿宋_GB2312" w:eastAsia="仿宋_GB2312"/>
          <w:color w:val="000000"/>
          <w:sz w:val="32"/>
          <w:szCs w:val="32"/>
        </w:rPr>
      </w:pPr>
      <w:r>
        <w:rPr>
          <w:rFonts w:hint="eastAsia" w:ascii="仿宋_GB2312" w:eastAsia="仿宋_GB2312"/>
          <w:color w:val="000000"/>
          <w:sz w:val="32"/>
          <w:szCs w:val="32"/>
        </w:rPr>
        <w:t>2.公务接待费。2021年预算数1.14万元。</w:t>
      </w:r>
      <w:r>
        <w:rPr>
          <w:rFonts w:hint="eastAsia" w:ascii="仿宋_GB2312" w:hAnsi="仿宋" w:eastAsia="仿宋_GB2312"/>
          <w:sz w:val="32"/>
          <w:szCs w:val="32"/>
        </w:rPr>
        <w:t>2021年公务接待费主要用于</w:t>
      </w:r>
      <w:r>
        <w:rPr>
          <w:rFonts w:hint="eastAsia" w:ascii="仿宋_GB2312" w:hAnsi="Calibri" w:eastAsia="仿宋_GB2312"/>
          <w:sz w:val="32"/>
          <w:szCs w:val="32"/>
        </w:rPr>
        <w:t>省市间文博单位业务交流接待等方面</w:t>
      </w:r>
      <w:r>
        <w:rPr>
          <w:rFonts w:hint="eastAsia" w:ascii="仿宋_GB2312" w:hAnsi="仿宋" w:eastAsia="仿宋_GB2312"/>
          <w:sz w:val="32"/>
          <w:szCs w:val="32"/>
        </w:rPr>
        <w:t>。</w:t>
      </w:r>
      <w:r>
        <w:rPr>
          <w:rFonts w:hint="eastAsia" w:ascii="仿宋_GB2312" w:eastAsia="仿宋_GB2312"/>
          <w:color w:val="000000"/>
          <w:sz w:val="32"/>
          <w:szCs w:val="32"/>
        </w:rPr>
        <w:tab/>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3.公务用车购置和运行维护费。2021年预算数2.47万元，其中，公务用车购置费2021年预算数0万元。公务用车运行维护费2021年预算数2.47万元，其中：公务用车加油1.3</w:t>
      </w:r>
      <w:r>
        <w:rPr>
          <w:rFonts w:ascii="仿宋_GB2312" w:eastAsia="仿宋_GB2312"/>
          <w:color w:val="000000"/>
          <w:sz w:val="32"/>
          <w:szCs w:val="32"/>
        </w:rPr>
        <w:t>2</w:t>
      </w:r>
      <w:r>
        <w:rPr>
          <w:rFonts w:hint="eastAsia" w:ascii="仿宋_GB2312" w:eastAsia="仿宋_GB2312"/>
          <w:color w:val="000000"/>
          <w:sz w:val="32"/>
          <w:szCs w:val="32"/>
        </w:rPr>
        <w:t>万元，公务用车维修0.43万元，公务用车保险0.43万元，其他0.</w:t>
      </w:r>
      <w:r>
        <w:rPr>
          <w:rFonts w:ascii="仿宋_GB2312" w:eastAsia="仿宋_GB2312"/>
          <w:color w:val="000000"/>
          <w:sz w:val="32"/>
          <w:szCs w:val="32"/>
        </w:rPr>
        <w:t>29</w:t>
      </w:r>
      <w:r>
        <w:rPr>
          <w:rFonts w:hint="eastAsia" w:ascii="仿宋_GB2312" w:eastAsia="仿宋_GB2312"/>
          <w:color w:val="000000"/>
          <w:sz w:val="32"/>
          <w:szCs w:val="32"/>
        </w:rPr>
        <w:t>万元。</w:t>
      </w:r>
    </w:p>
    <w:p>
      <w:pPr>
        <w:spacing w:line="560" w:lineRule="exact"/>
        <w:ind w:firstLine="800" w:firstLineChars="250"/>
        <w:rPr>
          <w:rFonts w:ascii="黑体" w:hAnsi="黑体" w:eastAsia="黑体"/>
          <w:color w:val="000000"/>
          <w:sz w:val="32"/>
          <w:szCs w:val="32"/>
        </w:rPr>
      </w:pPr>
      <w:r>
        <w:rPr>
          <w:rFonts w:hint="eastAsia" w:ascii="黑体" w:hAnsi="黑体" w:eastAsia="黑体"/>
          <w:color w:val="000000"/>
          <w:sz w:val="32"/>
          <w:szCs w:val="32"/>
        </w:rPr>
        <w:t>五、其他情况说明</w:t>
      </w:r>
    </w:p>
    <w:p>
      <w:pPr>
        <w:spacing w:line="560" w:lineRule="exact"/>
        <w:ind w:firstLine="566" w:firstLineChars="177"/>
        <w:rPr>
          <w:rFonts w:ascii="仿宋_GB2312" w:eastAsia="仿宋_GB2312"/>
          <w:color w:val="000000"/>
          <w:sz w:val="32"/>
          <w:szCs w:val="32"/>
        </w:rPr>
      </w:pPr>
      <w:r>
        <w:rPr>
          <w:rFonts w:hint="eastAsia" w:ascii="仿宋_GB2312" w:eastAsia="仿宋_GB2312"/>
          <w:color w:val="000000"/>
          <w:sz w:val="32"/>
          <w:szCs w:val="32"/>
        </w:rPr>
        <w:t xml:space="preserve"> （一）政府采购预算说明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2021年北京古代建筑博物馆单位政府采购预算总额446.71万元。其中：政府采购货物预算0万元，政府采购工程预算0万元，政府采购服务预算446.71万元。</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（二）政府购买服务预算说明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本单位2021年无购买服务预算</w:t>
      </w:r>
      <w:r>
        <w:rPr>
          <w:rFonts w:ascii="仿宋_GB2312" w:eastAsia="仿宋_GB2312"/>
          <w:color w:val="000000"/>
          <w:sz w:val="32"/>
          <w:szCs w:val="32"/>
        </w:rPr>
        <w:t>经</w:t>
      </w:r>
      <w:r>
        <w:rPr>
          <w:rFonts w:hint="eastAsia" w:ascii="仿宋_GB2312" w:eastAsia="仿宋_GB2312"/>
          <w:color w:val="000000"/>
          <w:sz w:val="32"/>
          <w:szCs w:val="32"/>
        </w:rPr>
        <w:t>费。</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（三）机关运行经费说明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本单位不在机关运行经费统计范围之内。</w:t>
      </w:r>
    </w:p>
    <w:p>
      <w:pPr>
        <w:spacing w:line="560" w:lineRule="exact"/>
        <w:ind w:left="426" w:firstLine="141"/>
        <w:rPr>
          <w:rFonts w:ascii="仿宋_GB2312" w:eastAsia="仿宋_GB2312"/>
          <w:color w:val="000000"/>
          <w:sz w:val="32"/>
          <w:szCs w:val="32"/>
        </w:rPr>
      </w:pPr>
      <w:r>
        <w:rPr>
          <w:rFonts w:hint="eastAsia" w:ascii="仿宋_GB2312" w:eastAsia="仿宋_GB2312"/>
          <w:color w:val="000000"/>
          <w:sz w:val="32"/>
          <w:szCs w:val="32"/>
        </w:rPr>
        <w:t>（四）项目支出绩效目标情况说明</w:t>
      </w:r>
    </w:p>
    <w:p>
      <w:pPr>
        <w:pStyle w:val="10"/>
        <w:spacing w:line="560" w:lineRule="exact"/>
        <w:ind w:firstLine="707" w:firstLineChars="221"/>
        <w:rPr>
          <w:rFonts w:ascii="仿宋_GB2312" w:eastAsia="仿宋_GB2312"/>
          <w:color w:val="000000"/>
          <w:sz w:val="32"/>
          <w:szCs w:val="32"/>
        </w:rPr>
      </w:pPr>
      <w:r>
        <w:rPr>
          <w:rFonts w:hint="eastAsia" w:ascii="仿宋_GB2312" w:eastAsia="仿宋_GB2312"/>
          <w:color w:val="000000"/>
          <w:sz w:val="32"/>
          <w:szCs w:val="32"/>
        </w:rPr>
        <w:t>2021年，北京古代建筑博物馆填报绩效目标的预算项目6个，占全部预算项目6个的100%。填报绩效目标的项目支出预算33</w:t>
      </w:r>
      <w:r>
        <w:rPr>
          <w:rFonts w:ascii="仿宋_GB2312" w:eastAsia="仿宋_GB2312"/>
          <w:color w:val="000000"/>
          <w:sz w:val="32"/>
          <w:szCs w:val="32"/>
        </w:rPr>
        <w:t>4.99</w:t>
      </w:r>
      <w:r>
        <w:rPr>
          <w:rFonts w:hint="eastAsia" w:ascii="仿宋_GB2312" w:eastAsia="仿宋_GB2312"/>
          <w:color w:val="000000"/>
          <w:sz w:val="32"/>
          <w:szCs w:val="32"/>
        </w:rPr>
        <w:t>万元，占本单位全部项目支出预算的100%。详见项目支出绩效目标表。</w:t>
      </w:r>
    </w:p>
    <w:p>
      <w:pPr>
        <w:spacing w:line="560" w:lineRule="exact"/>
        <w:ind w:firstLine="566" w:firstLineChars="177"/>
        <w:rPr>
          <w:rFonts w:ascii="仿宋_GB2312" w:eastAsia="仿宋_GB2312"/>
          <w:color w:val="000000"/>
          <w:sz w:val="32"/>
          <w:szCs w:val="32"/>
        </w:rPr>
      </w:pPr>
      <w:r>
        <w:rPr>
          <w:rFonts w:hint="eastAsia" w:ascii="仿宋_GB2312" w:eastAsia="仿宋_GB2312"/>
          <w:color w:val="000000"/>
          <w:sz w:val="32"/>
          <w:szCs w:val="32"/>
        </w:rPr>
        <w:t>（五）重点行政事业性收费情况说明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本单位2021年无重点行政事业性收费。</w:t>
      </w:r>
    </w:p>
    <w:p>
      <w:pPr>
        <w:spacing w:line="560" w:lineRule="exact"/>
        <w:ind w:firstLine="566" w:firstLineChars="177"/>
        <w:rPr>
          <w:rFonts w:ascii="仿宋_GB2312" w:eastAsia="仿宋_GB2312"/>
          <w:color w:val="000000"/>
          <w:sz w:val="32"/>
          <w:szCs w:val="32"/>
        </w:rPr>
      </w:pPr>
      <w:r>
        <w:rPr>
          <w:rFonts w:hint="eastAsia" w:ascii="仿宋_GB2312" w:eastAsia="仿宋_GB2312"/>
          <w:color w:val="000000"/>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w:t>
      </w:r>
      <w:r>
        <w:rPr>
          <w:rFonts w:ascii="仿宋_GB2312" w:eastAsia="仿宋_GB2312"/>
          <w:color w:val="000000"/>
          <w:sz w:val="32"/>
          <w:szCs w:val="32"/>
        </w:rPr>
        <w:t>单位</w:t>
      </w:r>
      <w:r>
        <w:rPr>
          <w:rFonts w:hint="eastAsia" w:ascii="仿宋_GB2312" w:eastAsia="仿宋_GB2312"/>
          <w:color w:val="000000"/>
          <w:sz w:val="32"/>
          <w:szCs w:val="32"/>
        </w:rPr>
        <w:t>2021年无国有资本经营预算财政拨款安排的预算。</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 </w:t>
      </w:r>
      <w:r>
        <w:rPr>
          <w:rFonts w:ascii="仿宋_GB2312" w:eastAsia="仿宋_GB2312"/>
          <w:color w:val="000000"/>
          <w:sz w:val="32"/>
          <w:szCs w:val="32"/>
        </w:rPr>
        <w:t xml:space="preserve">  </w:t>
      </w:r>
      <w:r>
        <w:rPr>
          <w:rFonts w:hint="eastAsia" w:ascii="仿宋_GB2312" w:eastAsia="仿宋_GB2312"/>
          <w:color w:val="000000"/>
          <w:sz w:val="32"/>
          <w:szCs w:val="32"/>
        </w:rPr>
        <w:t xml:space="preserve"> （七）国有资产占用情况说明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截至2020年底，北京古代建筑博物馆共有车辆1台，18.19万元；单位价值50万元以上的通用设备</w:t>
      </w:r>
      <w:r>
        <w:rPr>
          <w:rFonts w:ascii="仿宋_GB2312" w:eastAsia="仿宋_GB2312"/>
          <w:color w:val="000000"/>
          <w:sz w:val="32"/>
          <w:szCs w:val="32"/>
        </w:rPr>
        <w:t>1</w:t>
      </w:r>
      <w:r>
        <w:rPr>
          <w:rFonts w:hint="eastAsia" w:ascii="仿宋_GB2312" w:eastAsia="仿宋_GB2312"/>
          <w:color w:val="000000"/>
          <w:sz w:val="32"/>
          <w:szCs w:val="32"/>
        </w:rPr>
        <w:t>台（套），69.70万元，单位价值100万元以上的专用设备0台（套），0万元。</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rPr>
          <w:rFonts w:ascii="仿宋_GB2312" w:eastAsia="仿宋_GB2312"/>
          <w:color w:val="000000"/>
          <w:sz w:val="32"/>
          <w:szCs w:val="32"/>
        </w:rPr>
      </w:pPr>
    </w:p>
    <w:p>
      <w:pPr>
        <w:spacing w:line="560" w:lineRule="exact"/>
        <w:rPr>
          <w:rFonts w:ascii="仿宋_GB2312" w:eastAsia="仿宋_GB2312"/>
          <w:color w:val="000000"/>
          <w:sz w:val="32"/>
          <w:szCs w:val="32"/>
        </w:rPr>
      </w:pPr>
    </w:p>
    <w:p>
      <w:pPr>
        <w:spacing w:line="560" w:lineRule="exact"/>
        <w:rPr>
          <w:rFonts w:ascii="仿宋_GB2312" w:eastAsia="仿宋_GB2312"/>
          <w:color w:val="000000"/>
          <w:sz w:val="32"/>
          <w:szCs w:val="32"/>
        </w:rPr>
      </w:pPr>
    </w:p>
    <w:p>
      <w:pPr>
        <w:spacing w:line="560" w:lineRule="exact"/>
        <w:jc w:val="center"/>
        <w:rPr>
          <w:rFonts w:ascii="仿宋_GB2312" w:eastAsia="仿宋_GB2312"/>
          <w:color w:val="000000"/>
          <w:sz w:val="32"/>
          <w:szCs w:val="32"/>
        </w:rPr>
      </w:pPr>
    </w:p>
    <w:p>
      <w:pPr>
        <w:spacing w:line="560" w:lineRule="exact"/>
        <w:jc w:val="center"/>
        <w:rPr>
          <w:rFonts w:ascii="仿宋_GB2312" w:eastAsia="仿宋_GB2312"/>
          <w:color w:val="000000"/>
          <w:sz w:val="32"/>
          <w:szCs w:val="32"/>
        </w:rPr>
      </w:pPr>
    </w:p>
    <w:p>
      <w:pPr>
        <w:spacing w:line="560" w:lineRule="exact"/>
        <w:jc w:val="center"/>
        <w:rPr>
          <w:rFonts w:ascii="黑体" w:hAnsi="黑体" w:eastAsia="黑体" w:cstheme="minorBidi"/>
          <w:sz w:val="36"/>
          <w:szCs w:val="36"/>
        </w:rPr>
      </w:pPr>
    </w:p>
    <w:p>
      <w:pPr>
        <w:spacing w:line="560" w:lineRule="exact"/>
        <w:jc w:val="center"/>
        <w:rPr>
          <w:rFonts w:ascii="黑体" w:hAnsi="黑体" w:eastAsia="黑体" w:cstheme="minorBidi"/>
          <w:sz w:val="36"/>
          <w:szCs w:val="36"/>
        </w:rPr>
      </w:pPr>
    </w:p>
    <w:p>
      <w:pPr>
        <w:spacing w:line="560" w:lineRule="exact"/>
        <w:jc w:val="center"/>
        <w:rPr>
          <w:rFonts w:ascii="黑体" w:hAnsi="黑体" w:eastAsia="黑体" w:cstheme="minorBidi"/>
          <w:sz w:val="36"/>
          <w:szCs w:val="36"/>
        </w:rPr>
      </w:pPr>
    </w:p>
    <w:p>
      <w:pPr>
        <w:spacing w:line="560" w:lineRule="exact"/>
        <w:jc w:val="center"/>
        <w:rPr>
          <w:rFonts w:ascii="黑体" w:hAnsi="黑体" w:eastAsia="黑体" w:cstheme="minorBidi"/>
          <w:sz w:val="36"/>
          <w:szCs w:val="36"/>
        </w:rPr>
      </w:pPr>
    </w:p>
    <w:p>
      <w:pPr>
        <w:spacing w:line="560" w:lineRule="exact"/>
        <w:jc w:val="center"/>
        <w:rPr>
          <w:rFonts w:ascii="黑体" w:hAnsi="黑体" w:eastAsia="黑体" w:cstheme="minorBidi"/>
          <w:sz w:val="36"/>
          <w:szCs w:val="36"/>
        </w:rPr>
      </w:pPr>
    </w:p>
    <w:p>
      <w:pPr>
        <w:spacing w:line="560" w:lineRule="exact"/>
        <w:jc w:val="center"/>
        <w:rPr>
          <w:rFonts w:ascii="黑体" w:hAnsi="黑体" w:eastAsia="黑体" w:cstheme="minorBidi"/>
          <w:sz w:val="36"/>
          <w:szCs w:val="36"/>
        </w:rPr>
      </w:pPr>
      <w:r>
        <w:rPr>
          <w:rFonts w:hint="eastAsia" w:ascii="黑体" w:hAnsi="黑体" w:eastAsia="黑体" w:cstheme="minorBidi"/>
          <w:sz w:val="36"/>
          <w:szCs w:val="36"/>
        </w:rPr>
        <w:t>第二部分  2021年单位预算报表</w:t>
      </w:r>
    </w:p>
    <w:p>
      <w:pPr>
        <w:autoSpaceDE w:val="0"/>
        <w:autoSpaceDN w:val="0"/>
        <w:adjustRightInd w:val="0"/>
        <w:spacing w:line="560" w:lineRule="exact"/>
        <w:jc w:val="left"/>
        <w:rPr>
          <w:rFonts w:ascii="仿宋_GB2312" w:eastAsia="仿宋_GB2312"/>
          <w:color w:val="000000"/>
          <w:sz w:val="32"/>
          <w:szCs w:val="32"/>
        </w:rPr>
      </w:pPr>
    </w:p>
    <w:p>
      <w:pPr>
        <w:ind w:left="283" w:leftChars="135" w:firstLine="425" w:firstLineChars="133"/>
        <w:rPr>
          <w:rFonts w:ascii="仿宋_GB2312" w:eastAsia="仿宋_GB2312"/>
          <w:color w:val="000000"/>
          <w:sz w:val="32"/>
          <w:szCs w:val="32"/>
        </w:rPr>
      </w:pPr>
      <w:r>
        <w:rPr>
          <w:rFonts w:hint="eastAsia" w:ascii="仿宋_GB2312" w:eastAsia="仿宋_GB2312"/>
          <w:color w:val="000000"/>
          <w:sz w:val="32"/>
          <w:szCs w:val="32"/>
        </w:rPr>
        <w:t xml:space="preserve">附件：北京古代建筑博物馆2021年度单位预算报表（见附表）  </w:t>
      </w:r>
    </w:p>
    <w:sectPr>
      <w:footerReference r:id="rId3" w:type="default"/>
      <w:footerReference r:id="rId4" w:type="even"/>
      <w:pgSz w:w="11906" w:h="16838"/>
      <w:pgMar w:top="851" w:right="1474" w:bottom="0" w:left="1843"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Times New Roman"/>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Arial Unicode MS"/>
    <w:panose1 w:val="00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7474046"/>
      <w:docPartObj>
        <w:docPartGallery w:val="AutoText"/>
      </w:docPartObj>
    </w:sdtPr>
    <w:sdtContent>
      <w:p>
        <w:pPr>
          <w:pStyle w:val="3"/>
          <w:jc w:val="center"/>
        </w:pPr>
        <w:r>
          <w:fldChar w:fldCharType="begin"/>
        </w:r>
        <w:r>
          <w:instrText xml:space="preserve">PAGE   \* MERGEFORMAT</w:instrText>
        </w:r>
        <w:r>
          <w:fldChar w:fldCharType="separate"/>
        </w:r>
        <w:r>
          <w:rPr>
            <w:lang w:val="zh-CN"/>
          </w:rPr>
          <w:t>-</w:t>
        </w:r>
        <w:r>
          <w:t xml:space="preserve"> 3 -</w:t>
        </w:r>
        <w:r>
          <w:fldChar w:fldCharType="end"/>
        </w:r>
      </w:p>
    </w:sdtContent>
  </w:sdt>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4203950"/>
      <w:docPartObj>
        <w:docPartGallery w:val="AutoText"/>
      </w:docPartObj>
    </w:sdtPr>
    <w:sdtContent>
      <w:p>
        <w:pPr>
          <w:pStyle w:val="3"/>
          <w:jc w:val="center"/>
        </w:pPr>
        <w:r>
          <w:fldChar w:fldCharType="begin"/>
        </w:r>
        <w:r>
          <w:instrText xml:space="preserve">PAGE   \* MERGEFORMAT</w:instrText>
        </w:r>
        <w:r>
          <w:fldChar w:fldCharType="separate"/>
        </w:r>
        <w:r>
          <w:rPr>
            <w:lang w:val="zh-CN"/>
          </w:rPr>
          <w:t>-</w:t>
        </w:r>
        <w:r>
          <w:t xml:space="preserve"> 4 -</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42B"/>
    <w:rsid w:val="00005343"/>
    <w:rsid w:val="00013A12"/>
    <w:rsid w:val="00023DE1"/>
    <w:rsid w:val="00035812"/>
    <w:rsid w:val="00052304"/>
    <w:rsid w:val="000E1157"/>
    <w:rsid w:val="00100F86"/>
    <w:rsid w:val="0013473F"/>
    <w:rsid w:val="0014236C"/>
    <w:rsid w:val="0015457E"/>
    <w:rsid w:val="001550FF"/>
    <w:rsid w:val="001677B3"/>
    <w:rsid w:val="001D2658"/>
    <w:rsid w:val="0021610B"/>
    <w:rsid w:val="002372BB"/>
    <w:rsid w:val="002424E6"/>
    <w:rsid w:val="002436BB"/>
    <w:rsid w:val="00253F31"/>
    <w:rsid w:val="0027339D"/>
    <w:rsid w:val="0027678F"/>
    <w:rsid w:val="00346FBE"/>
    <w:rsid w:val="00361D1E"/>
    <w:rsid w:val="00373F45"/>
    <w:rsid w:val="00374207"/>
    <w:rsid w:val="004512CE"/>
    <w:rsid w:val="00471CE7"/>
    <w:rsid w:val="00480B38"/>
    <w:rsid w:val="0048372B"/>
    <w:rsid w:val="004A1265"/>
    <w:rsid w:val="004B4F51"/>
    <w:rsid w:val="005131D4"/>
    <w:rsid w:val="00522796"/>
    <w:rsid w:val="005438B8"/>
    <w:rsid w:val="00546732"/>
    <w:rsid w:val="00562F88"/>
    <w:rsid w:val="00586184"/>
    <w:rsid w:val="00590693"/>
    <w:rsid w:val="005D2DBD"/>
    <w:rsid w:val="00654509"/>
    <w:rsid w:val="00667E18"/>
    <w:rsid w:val="0069199A"/>
    <w:rsid w:val="006D1369"/>
    <w:rsid w:val="006F343A"/>
    <w:rsid w:val="007527DE"/>
    <w:rsid w:val="0079211A"/>
    <w:rsid w:val="00792FBC"/>
    <w:rsid w:val="007B681B"/>
    <w:rsid w:val="008136D7"/>
    <w:rsid w:val="008236A1"/>
    <w:rsid w:val="0082769E"/>
    <w:rsid w:val="0083542B"/>
    <w:rsid w:val="00855137"/>
    <w:rsid w:val="0088411C"/>
    <w:rsid w:val="0089797D"/>
    <w:rsid w:val="008A2C9A"/>
    <w:rsid w:val="008C630D"/>
    <w:rsid w:val="00904369"/>
    <w:rsid w:val="00913F14"/>
    <w:rsid w:val="00933270"/>
    <w:rsid w:val="00983C5E"/>
    <w:rsid w:val="009E2D15"/>
    <w:rsid w:val="00A60EDE"/>
    <w:rsid w:val="00A663BA"/>
    <w:rsid w:val="00A7474F"/>
    <w:rsid w:val="00A867F7"/>
    <w:rsid w:val="00AD75CF"/>
    <w:rsid w:val="00AF44AB"/>
    <w:rsid w:val="00B0524A"/>
    <w:rsid w:val="00B750B5"/>
    <w:rsid w:val="00BA0A47"/>
    <w:rsid w:val="00C04BCE"/>
    <w:rsid w:val="00C75680"/>
    <w:rsid w:val="00CB4A9F"/>
    <w:rsid w:val="00CB5F08"/>
    <w:rsid w:val="00CF3FED"/>
    <w:rsid w:val="00CF6B90"/>
    <w:rsid w:val="00D06CE9"/>
    <w:rsid w:val="00DB0EA4"/>
    <w:rsid w:val="00E165B8"/>
    <w:rsid w:val="00E35892"/>
    <w:rsid w:val="00E36D60"/>
    <w:rsid w:val="00EA395A"/>
    <w:rsid w:val="00EA3D45"/>
    <w:rsid w:val="00EB1A47"/>
    <w:rsid w:val="00EF5699"/>
    <w:rsid w:val="00F50749"/>
    <w:rsid w:val="00F623DF"/>
    <w:rsid w:val="00F63DC8"/>
    <w:rsid w:val="00F77ADF"/>
    <w:rsid w:val="00FB392C"/>
    <w:rsid w:val="00FE6A68"/>
    <w:rsid w:val="00FE6D95"/>
    <w:rsid w:val="00FF0109"/>
    <w:rsid w:val="56E16C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character" w:customStyle="1" w:styleId="9">
    <w:name w:val="批注框文本 Char"/>
    <w:basedOn w:val="6"/>
    <w:link w:val="2"/>
    <w:semiHidden/>
    <w:uiPriority w:val="99"/>
    <w:rPr>
      <w:rFonts w:ascii="Times New Roman" w:hAnsi="Times New Roman" w:eastAsia="宋体" w:cs="Droid Sans"/>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C63F7C-E107-4017-93BC-F62CC8EF77F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368</Words>
  <Characters>2099</Characters>
  <Lines>17</Lines>
  <Paragraphs>4</Paragraphs>
  <TotalTime>1</TotalTime>
  <ScaleCrop>false</ScaleCrop>
  <LinksUpToDate>false</LinksUpToDate>
  <CharactersWithSpaces>2463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2021-03-11T03:25:00Z</dcterms:created>
  <dc:creator>刘伟奇</dc:creator>
  <cp:lastModifiedBy>dell</cp:lastModifiedBy>
  <cp:lastPrinted>2021-02-22T06:51:00Z</cp:lastPrinted>
  <dcterms:modified xsi:type="dcterms:W3CDTF">2021-03-16T03:31:29Z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