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r>
        <w:rPr>
          <w:rFonts w:hint="eastAsia" w:ascii="黑体" w:eastAsia="黑体"/>
          <w:sz w:val="72"/>
          <w:szCs w:val="72"/>
        </w:rPr>
        <w:t>北京中轴线申遗保护工作办公室</w:t>
      </w: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pStyle w:val="2"/>
        <w:ind w:firstLine="420"/>
      </w:pPr>
    </w:p>
    <w:p>
      <w:pPr>
        <w:pStyle w:val="2"/>
        <w:ind w:firstLine="420"/>
        <w:rPr>
          <w:rFonts w:hint="eastAsia"/>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spacing w:line="560" w:lineRule="exact"/>
        <w:ind w:firstLine="560" w:firstLineChars="200"/>
        <w:rPr>
          <w:rFonts w:ascii="仿宋_GB2312" w:eastAsia="仿宋_GB2312"/>
          <w:sz w:val="28"/>
          <w:szCs w:val="28"/>
        </w:rPr>
      </w:pPr>
      <w:bookmarkStart w:id="0" w:name="OLE_LINK2"/>
      <w:bookmarkStart w:id="1" w:name="OLE_LINK1"/>
      <w:r>
        <w:rPr>
          <w:rFonts w:ascii="仿宋_GB2312" w:eastAsia="仿宋_GB2312"/>
          <w:sz w:val="28"/>
          <w:szCs w:val="28"/>
        </w:rPr>
        <w:t>(</w:t>
      </w: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本单位性质、职责等情况</w:t>
      </w:r>
    </w:p>
    <w:bookmarkEnd w:id="0"/>
    <w:bookmarkEnd w:id="1"/>
    <w:p>
      <w:pPr>
        <w:spacing w:line="560" w:lineRule="exact"/>
        <w:ind w:firstLine="560" w:firstLineChars="200"/>
        <w:rPr>
          <w:rFonts w:ascii="仿宋_GB2312" w:eastAsia="仿宋_GB2312"/>
          <w:sz w:val="28"/>
          <w:szCs w:val="28"/>
        </w:rPr>
      </w:pPr>
      <w:r>
        <w:rPr>
          <w:rFonts w:hint="eastAsia" w:ascii="仿宋_GB2312" w:eastAsia="仿宋_GB2312"/>
          <w:sz w:val="28"/>
          <w:szCs w:val="28"/>
        </w:rPr>
        <w:t>根据</w:t>
      </w:r>
      <w:bookmarkStart w:id="9" w:name="_GoBack"/>
      <w:bookmarkEnd w:id="9"/>
      <w:r>
        <w:rPr>
          <w:rFonts w:hint="eastAsia" w:ascii="仿宋_GB2312" w:eastAsia="仿宋_GB2312"/>
          <w:sz w:val="28"/>
          <w:szCs w:val="28"/>
          <w:lang w:eastAsia="zh-CN"/>
        </w:rPr>
        <w:t>市委编办</w:t>
      </w:r>
      <w:r>
        <w:rPr>
          <w:rFonts w:hint="eastAsia" w:ascii="仿宋_GB2312" w:eastAsia="仿宋_GB2312"/>
          <w:sz w:val="28"/>
          <w:szCs w:val="28"/>
        </w:rPr>
        <w:t>批复</w:t>
      </w:r>
      <w:r>
        <w:rPr>
          <w:rFonts w:ascii="仿宋_GB2312" w:eastAsia="仿宋_GB2312"/>
          <w:sz w:val="28"/>
          <w:szCs w:val="28"/>
        </w:rPr>
        <w:t>，</w:t>
      </w:r>
      <w:r>
        <w:rPr>
          <w:rFonts w:hint="eastAsia" w:ascii="仿宋_GB2312" w:eastAsia="仿宋_GB2312"/>
          <w:sz w:val="28"/>
          <w:szCs w:val="28"/>
        </w:rPr>
        <w:t>组建</w:t>
      </w:r>
      <w:bookmarkStart w:id="2" w:name="OLE_LINK5"/>
      <w:r>
        <w:rPr>
          <w:rFonts w:hint="eastAsia" w:ascii="仿宋_GB2312" w:eastAsia="仿宋_GB2312"/>
          <w:sz w:val="28"/>
          <w:szCs w:val="28"/>
        </w:rPr>
        <w:t>北京中轴线</w:t>
      </w:r>
      <w:r>
        <w:rPr>
          <w:rFonts w:ascii="仿宋_GB2312" w:eastAsia="仿宋_GB2312"/>
          <w:sz w:val="28"/>
          <w:szCs w:val="28"/>
        </w:rPr>
        <w:t>申遗保护工作办公室</w:t>
      </w:r>
      <w:bookmarkEnd w:id="2"/>
      <w:r>
        <w:rPr>
          <w:rFonts w:hint="eastAsia" w:ascii="仿宋_GB2312" w:eastAsia="仿宋_GB2312"/>
          <w:sz w:val="28"/>
          <w:szCs w:val="28"/>
        </w:rPr>
        <w:t>，单位性质为</w:t>
      </w:r>
      <w:r>
        <w:rPr>
          <w:rFonts w:ascii="仿宋_GB2312" w:eastAsia="仿宋_GB2312"/>
          <w:sz w:val="28"/>
          <w:szCs w:val="28"/>
        </w:rPr>
        <w:t>机关（</w:t>
      </w:r>
      <w:r>
        <w:rPr>
          <w:rFonts w:hint="eastAsia" w:ascii="仿宋_GB2312" w:eastAsia="仿宋_GB2312"/>
          <w:sz w:val="28"/>
          <w:szCs w:val="28"/>
        </w:rPr>
        <w:t>临时工作</w:t>
      </w:r>
      <w:r>
        <w:rPr>
          <w:rFonts w:ascii="仿宋_GB2312" w:eastAsia="仿宋_GB2312"/>
          <w:sz w:val="28"/>
          <w:szCs w:val="28"/>
        </w:rPr>
        <w:t>机构）</w:t>
      </w:r>
      <w:r>
        <w:rPr>
          <w:rFonts w:hint="eastAsia" w:ascii="仿宋_GB2312" w:eastAsia="仿宋_GB2312"/>
          <w:sz w:val="28"/>
          <w:szCs w:val="28"/>
        </w:rPr>
        <w:t>，主要职责是</w:t>
      </w:r>
      <w:r>
        <w:rPr>
          <w:rFonts w:ascii="仿宋_GB2312" w:eastAsia="仿宋_GB2312"/>
          <w:sz w:val="28"/>
          <w:szCs w:val="28"/>
        </w:rPr>
        <w:t>组织落实市委、市政府关于中轴线申遗保护工作的决策部署；研究拟订中轴线申遗保护相关计划、方案并组织实施；负责组织落实、监督实施中轴线申遗保护的各项工作</w:t>
      </w:r>
      <w:r>
        <w:rPr>
          <w:rFonts w:hint="eastAsia" w:ascii="仿宋_GB2312" w:eastAsia="仿宋_GB2312"/>
          <w:sz w:val="28"/>
          <w:szCs w:val="28"/>
        </w:rPr>
        <w:t>，</w:t>
      </w:r>
      <w:r>
        <w:rPr>
          <w:rFonts w:ascii="仿宋_GB2312" w:eastAsia="仿宋_GB2312"/>
          <w:sz w:val="28"/>
          <w:szCs w:val="28"/>
        </w:rPr>
        <w:t>协调解决工作中的有关问题</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(二)机构设置情况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北京中轴线</w:t>
      </w:r>
      <w:r>
        <w:rPr>
          <w:rFonts w:ascii="仿宋_GB2312" w:eastAsia="仿宋_GB2312"/>
          <w:sz w:val="28"/>
          <w:szCs w:val="28"/>
        </w:rPr>
        <w:t>申遗保护工作办公室</w:t>
      </w:r>
      <w:r>
        <w:rPr>
          <w:rFonts w:hint="eastAsia" w:ascii="仿宋_GB2312" w:eastAsia="仿宋_GB2312"/>
          <w:sz w:val="28"/>
          <w:szCs w:val="28"/>
        </w:rPr>
        <w:t>设置</w:t>
      </w:r>
      <w:r>
        <w:rPr>
          <w:rFonts w:ascii="仿宋_GB2312" w:eastAsia="仿宋_GB2312"/>
          <w:sz w:val="28"/>
          <w:szCs w:val="28"/>
        </w:rPr>
        <w:t>综合协调部、文本规划部、文物腾退部、环境</w:t>
      </w:r>
      <w:r>
        <w:rPr>
          <w:rFonts w:hint="eastAsia" w:ascii="仿宋_GB2312" w:eastAsia="仿宋_GB2312"/>
          <w:sz w:val="28"/>
          <w:szCs w:val="28"/>
        </w:rPr>
        <w:t>整治与监测</w:t>
      </w:r>
      <w:r>
        <w:rPr>
          <w:rFonts w:ascii="仿宋_GB2312" w:eastAsia="仿宋_GB2312"/>
          <w:sz w:val="28"/>
          <w:szCs w:val="28"/>
        </w:rPr>
        <w:t>部、对外联络部</w:t>
      </w:r>
      <w:r>
        <w:rPr>
          <w:rFonts w:hint="eastAsia" w:ascii="仿宋_GB2312" w:eastAsia="仿宋_GB2312"/>
          <w:sz w:val="28"/>
          <w:szCs w:val="28"/>
        </w:rPr>
        <w:t>5个部门。</w:t>
      </w:r>
    </w:p>
    <w:p>
      <w:pPr>
        <w:tabs>
          <w:tab w:val="center" w:pos="6979"/>
        </w:tabs>
        <w:spacing w:line="580" w:lineRule="exact"/>
        <w:rPr>
          <w:rFonts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2076.57</w:t>
      </w:r>
      <w:r>
        <w:rPr>
          <w:rFonts w:hint="eastAsia" w:ascii="仿宋_GB2312" w:eastAsia="仿宋_GB2312"/>
          <w:sz w:val="28"/>
          <w:szCs w:val="28"/>
        </w:rPr>
        <w:t>万元，</w:t>
      </w:r>
      <w:r>
        <w:rPr>
          <w:rFonts w:ascii="仿宋_GB2312" w:eastAsia="仿宋_GB2312"/>
          <w:sz w:val="28"/>
          <w:szCs w:val="28"/>
        </w:rPr>
        <w:t>比上年增加</w:t>
      </w:r>
      <w:r>
        <w:rPr>
          <w:rFonts w:ascii="仿宋_GB2312" w:eastAsia="仿宋_GB2312"/>
          <w:sz w:val="28"/>
          <w:szCs w:val="28"/>
          <w:lang w:val="en"/>
        </w:rPr>
        <w:t>680.91</w:t>
      </w:r>
      <w:r>
        <w:rPr>
          <w:rFonts w:hint="eastAsia" w:ascii="仿宋_GB2312" w:eastAsia="仿宋_GB2312"/>
          <w:sz w:val="28"/>
          <w:szCs w:val="28"/>
        </w:rPr>
        <w:t>万元，增长</w:t>
      </w:r>
      <w:r>
        <w:rPr>
          <w:rFonts w:ascii="仿宋_GB2312" w:eastAsia="仿宋_GB2312"/>
          <w:sz w:val="28"/>
          <w:szCs w:val="28"/>
          <w:lang w:val="en"/>
        </w:rPr>
        <w:t>48.79</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2076.57</w:t>
      </w:r>
      <w:r>
        <w:rPr>
          <w:rFonts w:hint="eastAsia" w:ascii="仿宋_GB2312" w:eastAsia="仿宋_GB2312"/>
          <w:sz w:val="28"/>
          <w:szCs w:val="28"/>
        </w:rPr>
        <w:t>万元，</w:t>
      </w:r>
      <w:r>
        <w:rPr>
          <w:rFonts w:ascii="仿宋_GB2312" w:eastAsia="仿宋_GB2312"/>
          <w:sz w:val="28"/>
          <w:szCs w:val="28"/>
        </w:rPr>
        <w:t>比上年增加</w:t>
      </w:r>
      <w:r>
        <w:rPr>
          <w:rFonts w:ascii="仿宋_GB2312" w:eastAsia="仿宋_GB2312"/>
          <w:sz w:val="28"/>
          <w:szCs w:val="28"/>
          <w:lang w:val="en"/>
        </w:rPr>
        <w:t>830.91</w:t>
      </w:r>
      <w:r>
        <w:rPr>
          <w:rFonts w:hint="eastAsia" w:ascii="仿宋_GB2312" w:eastAsia="仿宋_GB2312"/>
          <w:sz w:val="28"/>
          <w:szCs w:val="28"/>
        </w:rPr>
        <w:t>万元，增长</w:t>
      </w:r>
      <w:r>
        <w:rPr>
          <w:rFonts w:ascii="仿宋_GB2312" w:eastAsia="仿宋_GB2312"/>
          <w:sz w:val="28"/>
          <w:szCs w:val="28"/>
          <w:lang w:val="en"/>
        </w:rPr>
        <w:t>66.70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2076.57</w:t>
      </w:r>
      <w:r>
        <w:rPr>
          <w:rFonts w:hint="eastAsia" w:ascii="仿宋_GB2312" w:eastAsia="仿宋_GB2312"/>
          <w:sz w:val="28"/>
          <w:szCs w:val="28"/>
        </w:rPr>
        <w:t>万元，占收入合计的100%。其中：一般公共预算财政拨款收入</w:t>
      </w:r>
      <w:r>
        <w:rPr>
          <w:rFonts w:ascii="仿宋_GB2312" w:eastAsia="仿宋_GB2312"/>
          <w:sz w:val="28"/>
          <w:szCs w:val="28"/>
        </w:rPr>
        <w:t>2076.57</w:t>
      </w:r>
      <w:r>
        <w:rPr>
          <w:rFonts w:hint="eastAsia" w:ascii="仿宋_GB2312" w:eastAsia="仿宋_GB2312"/>
          <w:sz w:val="28"/>
          <w:szCs w:val="28"/>
        </w:rPr>
        <w:t>万元，占收入合计的100%；政府性基金预算财政拨款收入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.00%；国有资本经营预算财政拨款收入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.0</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.00万元，占收入合计的</w:t>
      </w:r>
      <w:r>
        <w:rPr>
          <w:rFonts w:ascii="仿宋_GB2312" w:eastAsia="仿宋_GB2312"/>
          <w:sz w:val="28"/>
          <w:szCs w:val="28"/>
        </w:rPr>
        <w:t>0</w:t>
      </w:r>
      <w:r>
        <w:rPr>
          <w:rFonts w:hint="eastAsia" w:ascii="仿宋_GB2312" w:eastAsia="仿宋_GB2312"/>
          <w:sz w:val="28"/>
          <w:szCs w:val="28"/>
        </w:rPr>
        <w:t>.00%。</w:t>
      </w:r>
    </w:p>
    <w:p>
      <w:pPr>
        <w:pStyle w:val="3"/>
        <w:jc w:val="center"/>
      </w:pPr>
      <w:r>
        <w:rPr>
          <w:rFonts w:hint="eastAsia" w:ascii="仿宋_GB2312" w:eastAsia="仿宋_GB2312"/>
          <w:color w:val="000000"/>
          <w:sz w:val="32"/>
        </w:rPr>
        <w:t>图1：收入预算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1974.49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582.53万元，增长41.85%，其中：基本支出</w:t>
      </w:r>
      <w:r>
        <w:rPr>
          <w:rFonts w:ascii="仿宋_GB2312" w:eastAsia="仿宋_GB2312"/>
          <w:sz w:val="28"/>
          <w:szCs w:val="28"/>
        </w:rPr>
        <w:t>0</w:t>
      </w:r>
      <w:r>
        <w:rPr>
          <w:rFonts w:hint="eastAsia" w:ascii="仿宋_GB2312" w:eastAsia="仿宋_GB2312"/>
          <w:sz w:val="28"/>
          <w:szCs w:val="28"/>
        </w:rPr>
        <w:t>.00万元，占支出合计的0.00%；项目支出</w:t>
      </w:r>
      <w:r>
        <w:rPr>
          <w:rFonts w:ascii="仿宋_GB2312" w:eastAsia="仿宋_GB2312"/>
          <w:sz w:val="28"/>
          <w:szCs w:val="28"/>
        </w:rPr>
        <w:t>1974.49</w:t>
      </w:r>
      <w:r>
        <w:rPr>
          <w:rFonts w:hint="eastAsia" w:ascii="仿宋_GB2312" w:eastAsia="仿宋_GB2312"/>
          <w:sz w:val="28"/>
          <w:szCs w:val="28"/>
        </w:rPr>
        <w:t>万元，占支出合计的100%;上缴上级支出</w:t>
      </w:r>
      <w:r>
        <w:rPr>
          <w:rFonts w:ascii="仿宋_GB2312" w:eastAsia="仿宋_GB2312"/>
          <w:sz w:val="28"/>
          <w:szCs w:val="28"/>
        </w:rPr>
        <w:t>0</w:t>
      </w:r>
      <w:r>
        <w:rPr>
          <w:rFonts w:hint="eastAsia" w:ascii="仿宋_GB2312" w:eastAsia="仿宋_GB2312"/>
          <w:sz w:val="28"/>
          <w:szCs w:val="28"/>
        </w:rPr>
        <w:t>.00万元，占支出合计的0.00%；经营支出</w:t>
      </w:r>
      <w:r>
        <w:rPr>
          <w:rFonts w:ascii="仿宋_GB2312" w:eastAsia="仿宋_GB2312"/>
          <w:sz w:val="28"/>
          <w:szCs w:val="28"/>
        </w:rPr>
        <w:t>0</w:t>
      </w:r>
      <w:r>
        <w:rPr>
          <w:rFonts w:hint="eastAsia" w:ascii="仿宋_GB2312" w:eastAsia="仿宋_GB2312"/>
          <w:sz w:val="28"/>
          <w:szCs w:val="28"/>
        </w:rPr>
        <w:t>.00万元，占支出合计的0.00%；对附属单位补助支出</w:t>
      </w:r>
      <w:r>
        <w:rPr>
          <w:rFonts w:ascii="仿宋_GB2312" w:eastAsia="仿宋_GB2312"/>
          <w:sz w:val="28"/>
          <w:szCs w:val="28"/>
        </w:rPr>
        <w:t>0</w:t>
      </w:r>
      <w:r>
        <w:rPr>
          <w:rFonts w:hint="eastAsia" w:ascii="仿宋_GB2312" w:eastAsia="仿宋_GB2312"/>
          <w:sz w:val="28"/>
          <w:szCs w:val="28"/>
        </w:rPr>
        <w:t>.00万元，占支出合计的0.00%。</w:t>
      </w:r>
    </w:p>
    <w:p>
      <w:pPr>
        <w:pStyle w:val="3"/>
        <w:ind w:firstLine="642"/>
        <w:jc w:val="center"/>
        <w:rPr>
          <w:rFonts w:ascii="仿宋_GB2312" w:eastAsia="仿宋_GB2312"/>
          <w:color w:val="000000"/>
          <w:sz w:val="32"/>
        </w:rPr>
      </w:pP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0" t="0" r="0" b="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黑体" w:eastAsia="黑体"/>
          <w:b/>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2076.57</w:t>
      </w:r>
      <w:r>
        <w:rPr>
          <w:rFonts w:hint="eastAsia" w:ascii="仿宋_GB2312" w:eastAsia="仿宋_GB2312"/>
          <w:sz w:val="28"/>
          <w:szCs w:val="28"/>
        </w:rPr>
        <w:t>万元，</w:t>
      </w:r>
      <w:r>
        <w:rPr>
          <w:rFonts w:ascii="仿宋_GB2312" w:eastAsia="仿宋_GB2312"/>
          <w:sz w:val="28"/>
          <w:szCs w:val="28"/>
        </w:rPr>
        <w:t>比上年增加</w:t>
      </w:r>
      <w:r>
        <w:rPr>
          <w:rFonts w:ascii="仿宋_GB2312" w:eastAsia="仿宋_GB2312"/>
          <w:sz w:val="28"/>
          <w:szCs w:val="28"/>
          <w:lang w:val="en"/>
        </w:rPr>
        <w:t>680.91</w:t>
      </w:r>
      <w:r>
        <w:rPr>
          <w:rFonts w:hint="eastAsia" w:ascii="仿宋_GB2312" w:eastAsia="仿宋_GB2312"/>
          <w:sz w:val="28"/>
          <w:szCs w:val="28"/>
        </w:rPr>
        <w:t>万元，增长</w:t>
      </w:r>
      <w:r>
        <w:rPr>
          <w:rFonts w:ascii="仿宋_GB2312" w:eastAsia="仿宋_GB2312"/>
          <w:sz w:val="28"/>
          <w:szCs w:val="28"/>
          <w:lang w:val="en"/>
        </w:rPr>
        <w:t>48.79</w:t>
      </w:r>
      <w:r>
        <w:rPr>
          <w:rFonts w:hint="eastAsia" w:ascii="仿宋_GB2312" w:eastAsia="仿宋_GB2312"/>
          <w:sz w:val="28"/>
          <w:szCs w:val="28"/>
        </w:rPr>
        <w:t>%。主要原因：为落实北京中轴线申遗工作计划，根据年度工作实际需求申报预算。</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1974.49</w:t>
      </w:r>
      <w:r>
        <w:rPr>
          <w:rFonts w:hint="eastAsia" w:ascii="仿宋_GB2312" w:eastAsia="仿宋_GB2312"/>
          <w:sz w:val="28"/>
          <w:szCs w:val="28"/>
        </w:rPr>
        <w:t>万元，主要用于以下方面（按大类）：文化旅游体育与传媒支出</w:t>
      </w:r>
      <w:r>
        <w:rPr>
          <w:rFonts w:ascii="仿宋_GB2312" w:eastAsia="仿宋_GB2312"/>
          <w:sz w:val="28"/>
          <w:szCs w:val="28"/>
        </w:rPr>
        <w:t>1974.49</w:t>
      </w:r>
      <w:r>
        <w:rPr>
          <w:rFonts w:hint="eastAsia" w:ascii="仿宋_GB2312" w:eastAsia="仿宋_GB2312"/>
          <w:sz w:val="28"/>
          <w:szCs w:val="28"/>
        </w:rPr>
        <w:t>万元，占本年财政拨款支出100</w:t>
      </w:r>
      <w:r>
        <w:rPr>
          <w:rFonts w:ascii="仿宋_GB2312" w:eastAsia="仿宋_GB2312"/>
          <w:sz w:val="28"/>
          <w:szCs w:val="28"/>
        </w:rPr>
        <w:t>.</w:t>
      </w:r>
      <w:r>
        <w:rPr>
          <w:rFonts w:hint="eastAsia" w:ascii="仿宋_GB2312" w:eastAsia="仿宋_GB2312"/>
          <w:sz w:val="28"/>
          <w:szCs w:val="28"/>
        </w:rPr>
        <w:t>00%。</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1、“文化旅游体育与传媒支出”（类）2024年度年初预算1372.56万元，2024年度决算</w:t>
      </w:r>
      <w:r>
        <w:rPr>
          <w:rFonts w:ascii="仿宋_GB2312" w:eastAsia="仿宋_GB2312"/>
          <w:sz w:val="28"/>
          <w:szCs w:val="28"/>
        </w:rPr>
        <w:t>1974.49</w:t>
      </w:r>
      <w:r>
        <w:rPr>
          <w:rFonts w:hint="eastAsia" w:ascii="仿宋_GB2312" w:eastAsia="仿宋_GB2312"/>
          <w:sz w:val="28"/>
          <w:szCs w:val="28"/>
        </w:rPr>
        <w:t>万元，完成年初预算的143.85%。</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ascii="黑体" w:eastAsia="黑体"/>
          <w:b/>
          <w:sz w:val="28"/>
          <w:szCs w:val="28"/>
        </w:rPr>
      </w:pPr>
      <w:r>
        <w:rPr>
          <w:rFonts w:hint="eastAsia" w:ascii="仿宋_GB2312" w:eastAsia="仿宋_GB2312"/>
          <w:sz w:val="28"/>
          <w:szCs w:val="28"/>
        </w:rPr>
        <w:t>“文物”（款，下同）2024年度年初预算1372.56万元，2024年度决算</w:t>
      </w:r>
      <w:r>
        <w:rPr>
          <w:rFonts w:ascii="仿宋_GB2312" w:eastAsia="仿宋_GB2312"/>
          <w:sz w:val="28"/>
          <w:szCs w:val="28"/>
        </w:rPr>
        <w:t>1974.49</w:t>
      </w:r>
      <w:r>
        <w:rPr>
          <w:rFonts w:hint="eastAsia" w:ascii="仿宋_GB2312" w:eastAsia="仿宋_GB2312"/>
          <w:sz w:val="28"/>
          <w:szCs w:val="28"/>
        </w:rPr>
        <w:t>万元，完成年初预算的143.85%。主要原因：根据年度工作实际需求，增加申遗保护宣传展示活动项目预算。</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.00万元，国有资本经营预算财政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.00万元。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0</w:t>
      </w:r>
      <w:r>
        <w:rPr>
          <w:rFonts w:hint="eastAsia" w:ascii="仿宋_GB2312" w:eastAsia="仿宋_GB2312"/>
          <w:sz w:val="28"/>
          <w:szCs w:val="28"/>
        </w:rPr>
        <w:t>.00万元，使用政府性基金财政拨款安排基本支出</w:t>
      </w:r>
      <w:r>
        <w:rPr>
          <w:rFonts w:ascii="仿宋_GB2312" w:eastAsia="仿宋_GB2312"/>
          <w:sz w:val="28"/>
          <w:szCs w:val="28"/>
        </w:rPr>
        <w:t>0</w:t>
      </w:r>
      <w:r>
        <w:rPr>
          <w:rFonts w:hint="eastAsia" w:ascii="仿宋_GB2312" w:eastAsia="仿宋_GB2312"/>
          <w:sz w:val="28"/>
          <w:szCs w:val="28"/>
        </w:rPr>
        <w:t>.00万元，（1）工资福利支出包括基本工资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rPr>
          <w:rFonts w:ascii="仿宋_GB2312" w:eastAsia="仿宋_GB2312"/>
          <w:b/>
          <w:sz w:val="32"/>
          <w:szCs w:val="32"/>
        </w:rPr>
      </w:pPr>
      <w:r>
        <w:rPr>
          <w:rFonts w:ascii="仿宋_GB2312" w:eastAsia="仿宋_GB2312"/>
          <w:b/>
          <w:sz w:val="32"/>
          <w:szCs w:val="32"/>
        </w:rPr>
        <w:tab/>
      </w:r>
    </w:p>
    <w:p>
      <w:pPr>
        <w:pStyle w:val="2"/>
        <w:ind w:firstLine="643"/>
        <w:rPr>
          <w:rFonts w:ascii="仿宋_GB2312" w:eastAsia="仿宋_GB2312"/>
          <w:b/>
          <w:sz w:val="32"/>
          <w:szCs w:val="32"/>
        </w:rPr>
      </w:pPr>
    </w:p>
    <w:p>
      <w:pPr>
        <w:pStyle w:val="2"/>
        <w:ind w:firstLine="643"/>
        <w:rPr>
          <w:rFonts w:ascii="仿宋_GB2312" w:eastAsia="仿宋_GB2312"/>
          <w:b/>
          <w:sz w:val="32"/>
          <w:szCs w:val="32"/>
        </w:rPr>
      </w:pPr>
    </w:p>
    <w:p>
      <w:pPr>
        <w:pStyle w:val="2"/>
        <w:ind w:firstLine="643"/>
        <w:rPr>
          <w:rFonts w:ascii="仿宋_GB2312" w:eastAsia="仿宋_GB2312"/>
          <w:b/>
          <w:sz w:val="32"/>
          <w:szCs w:val="32"/>
        </w:rPr>
      </w:pPr>
    </w:p>
    <w:p>
      <w:pPr>
        <w:pStyle w:val="2"/>
        <w:ind w:firstLine="643"/>
        <w:rPr>
          <w:rFonts w:ascii="仿宋_GB2312" w:eastAsia="仿宋_GB2312"/>
          <w:b/>
          <w:sz w:val="32"/>
          <w:szCs w:val="32"/>
        </w:rPr>
      </w:pPr>
    </w:p>
    <w:p>
      <w:pPr>
        <w:pStyle w:val="2"/>
        <w:ind w:firstLine="643"/>
        <w:rPr>
          <w:rFonts w:ascii="仿宋_GB2312" w:eastAsia="仿宋_GB2312"/>
          <w:b/>
          <w:sz w:val="32"/>
          <w:szCs w:val="32"/>
        </w:rPr>
      </w:pPr>
    </w:p>
    <w:p>
      <w:pPr>
        <w:pStyle w:val="2"/>
        <w:ind w:firstLine="643"/>
        <w:rPr>
          <w:rFonts w:ascii="仿宋_GB2312" w:eastAsia="仿宋_GB2312"/>
          <w:b/>
          <w:sz w:val="32"/>
          <w:szCs w:val="32"/>
        </w:rPr>
      </w:pPr>
    </w:p>
    <w:p>
      <w:pPr>
        <w:pStyle w:val="2"/>
        <w:ind w:firstLine="643"/>
        <w:rPr>
          <w:rFonts w:ascii="仿宋_GB2312" w:eastAsia="仿宋_GB2312"/>
          <w:b/>
          <w:sz w:val="32"/>
          <w:szCs w:val="32"/>
        </w:rPr>
      </w:pPr>
    </w:p>
    <w:p>
      <w:pPr>
        <w:pStyle w:val="2"/>
        <w:ind w:firstLine="643"/>
        <w:rPr>
          <w:rFonts w:ascii="仿宋_GB2312" w:eastAsia="仿宋_GB2312"/>
          <w:b/>
          <w:sz w:val="32"/>
          <w:szCs w:val="32"/>
        </w:rPr>
      </w:pPr>
    </w:p>
    <w:p>
      <w:pPr>
        <w:pStyle w:val="2"/>
        <w:ind w:firstLine="643"/>
        <w:rPr>
          <w:rFonts w:ascii="仿宋_GB2312" w:eastAsia="仿宋_GB2312"/>
          <w:b/>
          <w:sz w:val="32"/>
          <w:szCs w:val="32"/>
        </w:rPr>
      </w:pP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0.58</w:t>
      </w:r>
      <w:r>
        <w:rPr>
          <w:rFonts w:hint="eastAsia" w:ascii="仿宋_GB2312" w:eastAsia="仿宋_GB2312"/>
          <w:sz w:val="28"/>
          <w:szCs w:val="28"/>
        </w:rPr>
        <w:t>万元，2024年度“三公”经费财政拨款年初预算</w:t>
      </w:r>
      <w:r>
        <w:rPr>
          <w:rFonts w:ascii="仿宋_GB2312" w:eastAsia="仿宋_GB2312"/>
          <w:sz w:val="28"/>
          <w:szCs w:val="28"/>
        </w:rPr>
        <w:t>0</w:t>
      </w:r>
      <w:r>
        <w:rPr>
          <w:rFonts w:hint="eastAsia" w:ascii="仿宋_GB2312" w:eastAsia="仿宋_GB2312"/>
          <w:sz w:val="28"/>
          <w:szCs w:val="28"/>
        </w:rPr>
        <w:t>.00万元增加</w:t>
      </w:r>
      <w:r>
        <w:rPr>
          <w:rFonts w:ascii="仿宋_GB2312" w:eastAsia="仿宋_GB2312"/>
          <w:sz w:val="28"/>
          <w:szCs w:val="28"/>
        </w:rPr>
        <w:t>0.58</w:t>
      </w:r>
      <w:r>
        <w:rPr>
          <w:rFonts w:hint="eastAsia" w:ascii="仿宋_GB2312" w:eastAsia="仿宋_GB2312"/>
          <w:sz w:val="28"/>
          <w:szCs w:val="28"/>
        </w:rPr>
        <w:t>万元。其中：</w:t>
      </w:r>
    </w:p>
    <w:p>
      <w:pPr>
        <w:tabs>
          <w:tab w:val="left" w:pos="312"/>
        </w:tabs>
        <w:spacing w:line="560" w:lineRule="exact"/>
        <w:rPr>
          <w:rFonts w:ascii="仿宋_GB2312" w:eastAsia="仿宋_GB2312"/>
          <w:sz w:val="28"/>
          <w:szCs w:val="28"/>
        </w:rPr>
      </w:pPr>
      <w:r>
        <w:rPr>
          <w:rFonts w:hint="eastAsia" w:ascii="仿宋_GB2312" w:eastAsia="仿宋_GB2312"/>
          <w:sz w:val="28"/>
          <w:szCs w:val="28"/>
        </w:rPr>
        <w:t xml:space="preserve">    1.因公出国（境）费用。2024年度决算数</w:t>
      </w:r>
      <w:r>
        <w:rPr>
          <w:rFonts w:ascii="仿宋_GB2312" w:eastAsia="仿宋_GB2312"/>
          <w:sz w:val="28"/>
          <w:szCs w:val="28"/>
        </w:rPr>
        <w:t>0</w:t>
      </w:r>
      <w:r>
        <w:rPr>
          <w:rFonts w:hint="eastAsia" w:ascii="仿宋_GB2312" w:eastAsia="仿宋_GB2312"/>
          <w:sz w:val="28"/>
          <w:szCs w:val="28"/>
        </w:rPr>
        <w:t>.00万元，与2024年度年初预算数</w:t>
      </w:r>
      <w:r>
        <w:rPr>
          <w:rFonts w:ascii="仿宋_GB2312" w:eastAsia="仿宋_GB2312"/>
          <w:sz w:val="28"/>
          <w:szCs w:val="28"/>
        </w:rPr>
        <w:t>0</w:t>
      </w:r>
      <w:r>
        <w:rPr>
          <w:rFonts w:hint="eastAsia" w:ascii="仿宋_GB2312" w:eastAsia="仿宋_GB2312"/>
          <w:sz w:val="28"/>
          <w:szCs w:val="28"/>
        </w:rPr>
        <w:t>.00万元持平。</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2.公务接待费。2024年度决算数</w:t>
      </w:r>
      <w:r>
        <w:rPr>
          <w:rFonts w:ascii="仿宋_GB2312" w:eastAsia="仿宋_GB2312"/>
          <w:sz w:val="28"/>
          <w:szCs w:val="28"/>
        </w:rPr>
        <w:t>0.58</w:t>
      </w:r>
      <w:r>
        <w:rPr>
          <w:rFonts w:hint="eastAsia" w:ascii="仿宋_GB2312" w:eastAsia="仿宋_GB2312"/>
          <w:sz w:val="28"/>
          <w:szCs w:val="28"/>
        </w:rPr>
        <w:t>万元，比2024年度年初预算数</w:t>
      </w:r>
      <w:r>
        <w:rPr>
          <w:rFonts w:ascii="仿宋_GB2312" w:eastAsia="仿宋_GB2312"/>
          <w:sz w:val="28"/>
          <w:szCs w:val="28"/>
        </w:rPr>
        <w:t>0</w:t>
      </w:r>
      <w:r>
        <w:rPr>
          <w:rFonts w:hint="eastAsia" w:ascii="仿宋_GB2312" w:eastAsia="仿宋_GB2312"/>
          <w:sz w:val="28"/>
          <w:szCs w:val="28"/>
        </w:rPr>
        <w:t>.00万元增加</w:t>
      </w:r>
      <w:r>
        <w:rPr>
          <w:rFonts w:ascii="仿宋_GB2312" w:eastAsia="仿宋_GB2312"/>
          <w:sz w:val="28"/>
          <w:szCs w:val="28"/>
        </w:rPr>
        <w:t>0.58</w:t>
      </w:r>
      <w:r>
        <w:rPr>
          <w:rFonts w:hint="eastAsia" w:ascii="仿宋_GB2312" w:eastAsia="仿宋_GB2312"/>
          <w:sz w:val="28"/>
          <w:szCs w:val="28"/>
        </w:rPr>
        <w:t>万元。主要原因：</w:t>
      </w:r>
      <w:bookmarkStart w:id="3" w:name="OLE_LINK4"/>
      <w:bookmarkStart w:id="4" w:name="OLE_LINK3"/>
      <w:r>
        <w:rPr>
          <w:rFonts w:hint="eastAsia" w:ascii="仿宋_GB2312" w:eastAsia="仿宋_GB2312"/>
          <w:sz w:val="28"/>
          <w:szCs w:val="28"/>
        </w:rPr>
        <w:t>接待外省市来京实地</w:t>
      </w:r>
      <w:bookmarkEnd w:id="3"/>
      <w:bookmarkEnd w:id="4"/>
      <w:bookmarkStart w:id="5" w:name="OLE_LINK7"/>
      <w:bookmarkStart w:id="6" w:name="OLE_LINK6"/>
      <w:r>
        <w:rPr>
          <w:rFonts w:hint="eastAsia" w:ascii="仿宋_GB2312" w:eastAsia="仿宋_GB2312"/>
          <w:sz w:val="28"/>
          <w:szCs w:val="28"/>
        </w:rPr>
        <w:t>调研</w:t>
      </w:r>
      <w:bookmarkStart w:id="7" w:name="OLE_LINK9"/>
      <w:bookmarkStart w:id="8" w:name="OLE_LINK8"/>
      <w:r>
        <w:rPr>
          <w:rFonts w:ascii="仿宋_GB2312" w:eastAsia="仿宋_GB2312"/>
          <w:sz w:val="28"/>
          <w:szCs w:val="28"/>
        </w:rPr>
        <w:t>，</w:t>
      </w:r>
      <w:bookmarkEnd w:id="7"/>
      <w:bookmarkEnd w:id="8"/>
      <w:r>
        <w:rPr>
          <w:rFonts w:hint="eastAsia" w:ascii="仿宋_GB2312" w:eastAsia="仿宋_GB2312"/>
          <w:sz w:val="28"/>
          <w:szCs w:val="28"/>
        </w:rPr>
        <w:t>公务接待3批次</w:t>
      </w:r>
      <w:r>
        <w:rPr>
          <w:rFonts w:ascii="仿宋_GB2312" w:eastAsia="仿宋_GB2312"/>
          <w:sz w:val="28"/>
          <w:szCs w:val="28"/>
        </w:rPr>
        <w:t>，</w:t>
      </w:r>
      <w:r>
        <w:rPr>
          <w:rFonts w:hint="eastAsia" w:ascii="仿宋_GB2312" w:eastAsia="仿宋_GB2312"/>
          <w:sz w:val="28"/>
          <w:szCs w:val="28"/>
        </w:rPr>
        <w:t>50人次。</w:t>
      </w:r>
    </w:p>
    <w:bookmarkEnd w:id="5"/>
    <w:bookmarkEnd w:id="6"/>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0</w:t>
      </w:r>
      <w:r>
        <w:rPr>
          <w:rFonts w:hint="eastAsia" w:ascii="仿宋_GB2312" w:eastAsia="仿宋_GB2312"/>
          <w:sz w:val="28"/>
          <w:szCs w:val="28"/>
        </w:rPr>
        <w:t>.00万元，与2024年度年初预算数</w:t>
      </w:r>
      <w:r>
        <w:rPr>
          <w:rFonts w:ascii="仿宋_GB2312" w:eastAsia="仿宋_GB2312"/>
          <w:sz w:val="28"/>
          <w:szCs w:val="28"/>
        </w:rPr>
        <w:t>0</w:t>
      </w:r>
      <w:r>
        <w:rPr>
          <w:rFonts w:hint="eastAsia" w:ascii="仿宋_GB2312" w:eastAsia="仿宋_GB2312"/>
          <w:sz w:val="28"/>
          <w:szCs w:val="28"/>
        </w:rPr>
        <w:t>.00万元持平。2024年度公务用车保有量</w:t>
      </w:r>
      <w:r>
        <w:rPr>
          <w:rFonts w:ascii="仿宋_GB2312" w:eastAsia="仿宋_GB2312"/>
          <w:sz w:val="28"/>
          <w:szCs w:val="28"/>
        </w:rPr>
        <w:t>0</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我单位不在机关运行经费统计范围之内。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1821.45</w:t>
      </w:r>
      <w:r>
        <w:rPr>
          <w:rFonts w:hint="eastAsia" w:ascii="仿宋_GB2312" w:eastAsia="仿宋_GB2312"/>
          <w:sz w:val="28"/>
          <w:szCs w:val="28"/>
        </w:rPr>
        <w:t>万元，其中：政府采购货物支出</w:t>
      </w:r>
      <w:r>
        <w:rPr>
          <w:rFonts w:ascii="仿宋_GB2312" w:eastAsia="仿宋_GB2312"/>
          <w:sz w:val="28"/>
          <w:szCs w:val="28"/>
        </w:rPr>
        <w:t>0.55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.00万元，政府采购服务支出</w:t>
      </w:r>
      <w:r>
        <w:rPr>
          <w:rFonts w:ascii="仿宋_GB2312" w:eastAsia="仿宋_GB2312"/>
          <w:sz w:val="28"/>
          <w:szCs w:val="28"/>
        </w:rPr>
        <w:t>1820.9</w:t>
      </w:r>
      <w:r>
        <w:rPr>
          <w:rFonts w:hint="eastAsia" w:ascii="仿宋_GB2312" w:eastAsia="仿宋_GB2312"/>
          <w:sz w:val="28"/>
          <w:szCs w:val="28"/>
        </w:rPr>
        <w:t>0万元。授予中小企业合同金额</w:t>
      </w:r>
      <w:r>
        <w:rPr>
          <w:rFonts w:ascii="仿宋_GB2312" w:eastAsia="仿宋_GB2312"/>
          <w:sz w:val="28"/>
          <w:szCs w:val="28"/>
        </w:rPr>
        <w:t>644.94</w:t>
      </w:r>
      <w:r>
        <w:rPr>
          <w:rFonts w:hint="eastAsia" w:ascii="仿宋_GB2312" w:eastAsia="仿宋_GB2312"/>
          <w:sz w:val="28"/>
          <w:szCs w:val="28"/>
        </w:rPr>
        <w:t>万元，占政府采购支出总额的35.41%，其中：授予小微企业合同金额</w:t>
      </w:r>
      <w:r>
        <w:rPr>
          <w:rFonts w:ascii="仿宋_GB2312" w:eastAsia="仿宋_GB2312"/>
          <w:sz w:val="28"/>
          <w:szCs w:val="28"/>
        </w:rPr>
        <w:t>349.96</w:t>
      </w:r>
      <w:r>
        <w:rPr>
          <w:rFonts w:hint="eastAsia" w:ascii="仿宋_GB2312" w:eastAsia="仿宋_GB2312"/>
          <w:sz w:val="28"/>
          <w:szCs w:val="28"/>
        </w:rPr>
        <w:t>万元，占政府采购支出总额的</w:t>
      </w:r>
      <w:r>
        <w:rPr>
          <w:rFonts w:ascii="仿宋_GB2312" w:eastAsia="仿宋_GB2312"/>
          <w:sz w:val="28"/>
          <w:szCs w:val="28"/>
        </w:rPr>
        <w:t>19.21</w:t>
      </w:r>
      <w:r>
        <w:rPr>
          <w:rFonts w:hint="eastAsia" w:ascii="仿宋_GB2312" w:eastAsia="仿宋_GB2312"/>
          <w:sz w:val="28"/>
          <w:szCs w:val="28"/>
        </w:rPr>
        <w:t>%。</w:t>
      </w:r>
    </w:p>
    <w:p>
      <w:pPr>
        <w:ind w:firstLine="560" w:firstLineChars="200"/>
        <w:rPr>
          <w:rFonts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截至12月31日，北京中轴线申遗保护工作办公室共有车辆0台；单位价值100万元（含）以上的设备0台（套）。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.00万元。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rPr>
        <w:t>7.文化旅游体育与传媒支出（类）文物（款）其他文物支出（项）：反映非行政单位的其他单位除行政运行、一般行政管理事务、机关服务、文物保护、博物馆、历史名城与古迹项目以外的其他支出。</w:t>
      </w:r>
    </w:p>
    <w:p>
      <w:pPr>
        <w:rPr>
          <w:rFonts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rPr>
          <w:rFonts w:ascii="黑体" w:eastAsia="黑体"/>
          <w:sz w:val="32"/>
          <w:szCs w:val="32"/>
        </w:rPr>
      </w:pPr>
    </w:p>
    <w:p>
      <w:pPr>
        <w:ind w:firstLine="640" w:firstLineChars="200"/>
        <w:jc w:val="center"/>
        <w:rPr>
          <w:rFonts w:ascii="黑体" w:eastAsia="黑体"/>
          <w:sz w:val="32"/>
          <w:szCs w:val="32"/>
        </w:rPr>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pStyle w:val="2"/>
        <w:ind w:firstLine="420"/>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rPr>
          <w:rFonts w:ascii="黑体" w:eastAsia="黑体"/>
          <w:sz w:val="28"/>
          <w:szCs w:val="28"/>
        </w:rPr>
      </w:pPr>
    </w:p>
    <w:p>
      <w:pPr>
        <w:ind w:firstLine="560" w:firstLineChars="200"/>
        <w:rPr>
          <w:rFonts w:ascii="黑体" w:eastAsia="黑体"/>
          <w:sz w:val="28"/>
          <w:szCs w:val="28"/>
        </w:rPr>
      </w:pPr>
      <w:r>
        <w:rPr>
          <w:rFonts w:hint="eastAsia" w:ascii="黑体" w:eastAsia="黑体"/>
          <w:sz w:val="28"/>
          <w:szCs w:val="28"/>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ind w:firstLine="1120" w:firstLineChars="400"/>
        <w:rPr>
          <w:rFonts w:ascii="仿宋_GB2312" w:eastAsia="仿宋_GB2312"/>
          <w:sz w:val="28"/>
          <w:szCs w:val="28"/>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12</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11B4"/>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67FE1"/>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2F62BA"/>
    <w:rsid w:val="00301B4F"/>
    <w:rsid w:val="00301D20"/>
    <w:rsid w:val="00302B19"/>
    <w:rsid w:val="00303428"/>
    <w:rsid w:val="003053C4"/>
    <w:rsid w:val="003058A3"/>
    <w:rsid w:val="00307DA5"/>
    <w:rsid w:val="0031169D"/>
    <w:rsid w:val="0031170D"/>
    <w:rsid w:val="00313E14"/>
    <w:rsid w:val="00314FA5"/>
    <w:rsid w:val="003167DD"/>
    <w:rsid w:val="00320C8B"/>
    <w:rsid w:val="00321BD8"/>
    <w:rsid w:val="00325687"/>
    <w:rsid w:val="00332C14"/>
    <w:rsid w:val="00335079"/>
    <w:rsid w:val="003352CE"/>
    <w:rsid w:val="00341D8E"/>
    <w:rsid w:val="003432F9"/>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249B"/>
    <w:rsid w:val="003E4D82"/>
    <w:rsid w:val="003E5BC1"/>
    <w:rsid w:val="003F0D1B"/>
    <w:rsid w:val="003F1DD6"/>
    <w:rsid w:val="00401087"/>
    <w:rsid w:val="00402E26"/>
    <w:rsid w:val="00405701"/>
    <w:rsid w:val="0040756B"/>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D667F"/>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08D8"/>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69B2"/>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C7A54"/>
    <w:rsid w:val="006D3F53"/>
    <w:rsid w:val="006D60AF"/>
    <w:rsid w:val="006D62F5"/>
    <w:rsid w:val="006E4722"/>
    <w:rsid w:val="006F2F05"/>
    <w:rsid w:val="00700EC4"/>
    <w:rsid w:val="00701651"/>
    <w:rsid w:val="007049BF"/>
    <w:rsid w:val="00704E79"/>
    <w:rsid w:val="00707A26"/>
    <w:rsid w:val="0071120F"/>
    <w:rsid w:val="00716380"/>
    <w:rsid w:val="00722165"/>
    <w:rsid w:val="00724B1C"/>
    <w:rsid w:val="007264E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1249"/>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1971"/>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27E1"/>
    <w:rsid w:val="00A25898"/>
    <w:rsid w:val="00A3071D"/>
    <w:rsid w:val="00A3182E"/>
    <w:rsid w:val="00A31A89"/>
    <w:rsid w:val="00A32F06"/>
    <w:rsid w:val="00A34934"/>
    <w:rsid w:val="00A34EFE"/>
    <w:rsid w:val="00A36546"/>
    <w:rsid w:val="00A4069C"/>
    <w:rsid w:val="00A413B5"/>
    <w:rsid w:val="00A429CB"/>
    <w:rsid w:val="00A44E87"/>
    <w:rsid w:val="00A5063C"/>
    <w:rsid w:val="00A52094"/>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3875"/>
    <w:rsid w:val="00AC6C2D"/>
    <w:rsid w:val="00AC6E17"/>
    <w:rsid w:val="00AD2FF3"/>
    <w:rsid w:val="00AD7764"/>
    <w:rsid w:val="00AD7FE2"/>
    <w:rsid w:val="00AE1284"/>
    <w:rsid w:val="00AE1B18"/>
    <w:rsid w:val="00AE7339"/>
    <w:rsid w:val="00AF1B0B"/>
    <w:rsid w:val="00AF242C"/>
    <w:rsid w:val="00AF33C8"/>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0A34"/>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61"/>
    <w:rsid w:val="00C92FBB"/>
    <w:rsid w:val="00C93327"/>
    <w:rsid w:val="00C97B4D"/>
    <w:rsid w:val="00CA5602"/>
    <w:rsid w:val="00CA5CA9"/>
    <w:rsid w:val="00CA78E2"/>
    <w:rsid w:val="00CB1BBE"/>
    <w:rsid w:val="00CB65DB"/>
    <w:rsid w:val="00CB6BD9"/>
    <w:rsid w:val="00CC293A"/>
    <w:rsid w:val="00CD3CA7"/>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C7239"/>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396"/>
    <w:rsid w:val="00F356ED"/>
    <w:rsid w:val="00F359B5"/>
    <w:rsid w:val="00F4144F"/>
    <w:rsid w:val="00F433F3"/>
    <w:rsid w:val="00F47F64"/>
    <w:rsid w:val="00F522D9"/>
    <w:rsid w:val="00F52F54"/>
    <w:rsid w:val="00F53584"/>
    <w:rsid w:val="00F61B24"/>
    <w:rsid w:val="00F62DE5"/>
    <w:rsid w:val="00F63F8A"/>
    <w:rsid w:val="00F65068"/>
    <w:rsid w:val="00F6514E"/>
    <w:rsid w:val="00F703DC"/>
    <w:rsid w:val="00F71D06"/>
    <w:rsid w:val="00F73B46"/>
    <w:rsid w:val="00F73D01"/>
    <w:rsid w:val="00F7642B"/>
    <w:rsid w:val="00F76A43"/>
    <w:rsid w:val="00F80334"/>
    <w:rsid w:val="00F80AD3"/>
    <w:rsid w:val="00F8139D"/>
    <w:rsid w:val="00F83DF9"/>
    <w:rsid w:val="00F85DA0"/>
    <w:rsid w:val="00F930AF"/>
    <w:rsid w:val="00F9352C"/>
    <w:rsid w:val="00F975B0"/>
    <w:rsid w:val="00FA15F1"/>
    <w:rsid w:val="00FA19F5"/>
    <w:rsid w:val="00FA2AC6"/>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143076"/>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3FFFF21F"/>
    <w:rsid w:val="433E495C"/>
    <w:rsid w:val="489F2FD7"/>
    <w:rsid w:val="4A121288"/>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357290B"/>
    <w:rsid w:val="769BFB04"/>
    <w:rsid w:val="798524E4"/>
    <w:rsid w:val="7A7F1C49"/>
    <w:rsid w:val="7B5B7AE6"/>
    <w:rsid w:val="7B7B6628"/>
    <w:rsid w:val="7BA7071E"/>
    <w:rsid w:val="7BDF6DA8"/>
    <w:rsid w:val="7C7EDC1A"/>
    <w:rsid w:val="7CCED98D"/>
    <w:rsid w:val="7D08410F"/>
    <w:rsid w:val="7DB96DED"/>
    <w:rsid w:val="7DD3AD81"/>
    <w:rsid w:val="7F7FE70F"/>
    <w:rsid w:val="7FF70917"/>
    <w:rsid w:val="7FF7729B"/>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5FF815A"/>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2076.57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delete val="1"/>
            </c:dLbl>
            <c:dLbl>
              <c:idx val="2"/>
              <c:layout>
                <c:manualLayout>
                  <c:x val="-0.00567038495188101"/>
                  <c:y val="0.018938101487314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0</c:v>
                </c:pt>
                <c:pt idx="1">
                  <c:v>1974.49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C2487-1580-4B91-AE93-D1634C4C61A9}">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12</Pages>
  <Words>515</Words>
  <Characters>2938</Characters>
  <Lines>24</Lines>
  <Paragraphs>6</Paragraphs>
  <TotalTime>44</TotalTime>
  <ScaleCrop>false</ScaleCrop>
  <LinksUpToDate>false</LinksUpToDate>
  <CharactersWithSpaces>3447</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2025-08-21T07:43:00Z</dcterms:created>
  <dc:creator>常程</dc:creator>
  <cp:lastModifiedBy>Mr.Lr</cp:lastModifiedBy>
  <cp:lastPrinted>2025-08-21T10:00:00Z</cp:lastPrinted>
  <dcterms:modified xsi:type="dcterms:W3CDTF">2025-09-16T03:08:22Z</dcterms:modified>
  <dc:title>北京市财政局关于做好向市人大常委会报送2015年度市级部门决算（草案）</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435078ACFECC4A5A8A519EF4C3681114_13</vt:lpwstr>
  </property>
  <property fmtid="{D5CDD505-2E9C-101B-9397-08002B2CF9AE}" pid="4" name="KSOTemplateDocerSaveRecord">
    <vt:lpwstr>eyJoZGlkIjoiOThjYWY5NjIzZmRmOGExODY0ZTczZWMxYTE1MTliODkiLCJ1c2VySWQiOiI3NzcwNTEwOTkifQ==</vt:lpwstr>
  </property>
</Properties>
</file>