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北京市文物局本级事业</w:t>
      </w: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w:t>
      </w:r>
      <w:bookmarkStart w:id="0" w:name="_GoBack"/>
      <w:bookmarkEnd w:id="0"/>
      <w:r>
        <w:rPr>
          <w:rFonts w:hint="eastAsia" w:ascii="黑体" w:eastAsia="黑体"/>
          <w:b/>
          <w:sz w:val="28"/>
          <w:szCs w:val="28"/>
        </w:rPr>
        <w:t>单位基本情况</w:t>
      </w:r>
    </w:p>
    <w:p>
      <w:pPr>
        <w:tabs>
          <w:tab w:val="center" w:pos="6979"/>
        </w:tabs>
        <w:spacing w:line="580" w:lineRule="exact"/>
        <w:ind w:firstLine="640" w:firstLineChars="200"/>
        <w:rPr>
          <w:rFonts w:hint="eastAsia" w:ascii="仿宋_GB2312" w:eastAsia="仿宋_GB2312"/>
          <w:sz w:val="28"/>
          <w:szCs w:val="28"/>
        </w:rPr>
      </w:pPr>
      <w:r>
        <w:rPr>
          <w:rFonts w:hint="eastAsia" w:ascii="方正仿宋_GBK" w:hAnsi="方正仿宋_GBK" w:eastAsia="方正仿宋_GBK" w:cs="方正仿宋_GBK"/>
          <w:color w:val="auto"/>
          <w:sz w:val="32"/>
          <w:szCs w:val="32"/>
          <w:lang w:val="en-US" w:eastAsia="zh-CN"/>
        </w:rPr>
        <w:t>1.</w:t>
      </w:r>
      <w:r>
        <w:rPr>
          <w:rFonts w:hint="eastAsia" w:ascii="仿宋_GB2312" w:eastAsia="仿宋_GB2312"/>
          <w:sz w:val="28"/>
          <w:szCs w:val="28"/>
        </w:rPr>
        <w:t>机构设置</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sz w:val="28"/>
          <w:szCs w:val="28"/>
        </w:rPr>
        <w:t>北京市文物局</w:t>
      </w:r>
      <w:r>
        <w:rPr>
          <w:rFonts w:hint="eastAsia" w:ascii="仿宋_GB2312" w:hAnsi="Times New Roman" w:eastAsia="仿宋_GB2312" w:cs="Times New Roman"/>
          <w:sz w:val="28"/>
          <w:szCs w:val="28"/>
          <w:lang w:eastAsia="zh-CN"/>
        </w:rPr>
        <w:t>本级事业</w:t>
      </w:r>
      <w:r>
        <w:rPr>
          <w:rFonts w:hint="eastAsia" w:ascii="仿宋_GB2312" w:hAnsi="Times New Roman" w:eastAsia="仿宋_GB2312" w:cs="Times New Roman"/>
          <w:sz w:val="28"/>
          <w:szCs w:val="28"/>
        </w:rPr>
        <w:t>共设办公室（行政审批服务处）、法制处（科研处）、研究室、申遗处、文物保护处（革命文物处）、遗产管理处、考古处、博物馆处、文物市场管理处（文博产业管理处）、安全保卫处、计划财务处、组织宣传处（人事处、对外联络处）、机关党委、机关纪委、工会（团委）、离退休干部处16个内设机构。</w:t>
      </w:r>
      <w:r>
        <w:rPr>
          <w:rFonts w:hint="eastAsia" w:ascii="仿宋_GB2312" w:eastAsia="仿宋_GB2312"/>
          <w:sz w:val="28"/>
          <w:szCs w:val="28"/>
        </w:rPr>
        <w:t>2.职责</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2.职能</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北京市文物局是负责本市文物和博物馆事业管理工作的市政府直属机构。上级业务主管部门为国家文物局。主要职责如下：</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贯彻落实国家关于文物和博物馆工作方面的法律、法规、规章和政策，起草本市相关地方性法规草案、政府规章草案，并组织实施；拟订文物和博物馆事业发展规划，并组织实施；负责推动完善文物和博物馆公共服务体系建设；拟订文物和博物馆公共资源共享规划并推动实施。</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（2）负责本市世界文化遗产和文物保护单位管理工作，会同有关部门负责历史文化名城（镇、村）保护和监督管理工作，研究提出文物保护单位保护范围和建设控制地带的意见。</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（3）指导本市博物馆的业务工作，组织博物馆间的交流与协作，负责博物馆馆藏文物鉴定、登记、借用、调拨和交换的管理工作。</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（4）负责本市的考古调查、勘探和发掘工作；会同有关部门研究提出保护地下文物埋藏区的意见；负责出土文物的调用。</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（5）负责管理本市民间收藏文物及其流通活动；培育、引导和扶持文物和博物馆领域相关产业健康发展。</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（6）负责本市文物和博物馆有关审核、审批事务及相关资质资格认定的管理工作。</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（7）依法负责本市文物行政执法工作，组织查处有关文物的违法违章案件；承担文物和博物馆安全工作的管理责任。</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（8）负责本市文物保护的宣传工作；组织与国（境）内外的文物交流和展示活动。</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（9）规划、指导本市文物和博物馆领域专业人员培训工作；组织文物和博物馆领域科学研究及交流、文物科学保护工作。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sz w:val="28"/>
          <w:szCs w:val="28"/>
        </w:rPr>
        <w:t>（10）承办市政府交办的其他事项。</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6724.97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160.14</w:t>
      </w:r>
      <w:r>
        <w:rPr>
          <w:rFonts w:hint="eastAsia" w:ascii="仿宋_GB2312" w:eastAsia="仿宋_GB2312"/>
          <w:sz w:val="28"/>
          <w:szCs w:val="28"/>
        </w:rPr>
        <w:t>万元，下降</w:t>
      </w:r>
      <w:r>
        <w:rPr>
          <w:rFonts w:hint="eastAsia" w:ascii="仿宋_GB2312" w:eastAsia="仿宋_GB2312"/>
          <w:sz w:val="28"/>
          <w:szCs w:val="28"/>
          <w:lang w:val="en-US" w:eastAsia="zh-CN"/>
        </w:rPr>
        <w:t>2.33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5383.14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943.57</w:t>
      </w:r>
      <w:r>
        <w:rPr>
          <w:rFonts w:hint="eastAsia" w:ascii="仿宋_GB2312" w:eastAsia="仿宋_GB2312"/>
          <w:sz w:val="28"/>
          <w:szCs w:val="28"/>
        </w:rPr>
        <w:t>万元，增长</w:t>
      </w:r>
      <w:r>
        <w:rPr>
          <w:rFonts w:hint="eastAsia" w:ascii="仿宋_GB2312" w:eastAsia="仿宋_GB2312"/>
          <w:sz w:val="28"/>
          <w:szCs w:val="28"/>
          <w:lang w:val="en-US" w:eastAsia="zh-CN"/>
        </w:rPr>
        <w:t>21.25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5369.09</w:t>
      </w:r>
      <w:r>
        <w:rPr>
          <w:rFonts w:hint="eastAsia" w:ascii="仿宋_GB2312" w:eastAsia="仿宋_GB2312"/>
          <w:sz w:val="28"/>
          <w:szCs w:val="28"/>
        </w:rPr>
        <w:t>万元，占收入合计的</w:t>
      </w:r>
      <w:r>
        <w:rPr>
          <w:rFonts w:hint="eastAsia" w:ascii="仿宋_GB2312" w:eastAsia="仿宋_GB2312"/>
          <w:sz w:val="28"/>
          <w:szCs w:val="28"/>
          <w:lang w:eastAsia="zh-CN"/>
        </w:rPr>
        <w:t>99.74</w:t>
      </w:r>
      <w:r>
        <w:rPr>
          <w:rFonts w:hint="eastAsia" w:ascii="仿宋_GB2312" w:eastAsia="仿宋_GB2312"/>
          <w:sz w:val="28"/>
          <w:szCs w:val="28"/>
        </w:rPr>
        <w:t>。其中：一般公共预算财政拨款收入</w:t>
      </w:r>
      <w:r>
        <w:rPr>
          <w:rFonts w:ascii="仿宋_GB2312" w:eastAsia="仿宋_GB2312"/>
          <w:sz w:val="28"/>
          <w:szCs w:val="28"/>
        </w:rPr>
        <w:t>5369.09</w:t>
      </w:r>
      <w:r>
        <w:rPr>
          <w:rFonts w:hint="eastAsia" w:ascii="仿宋_GB2312" w:eastAsia="仿宋_GB2312"/>
          <w:sz w:val="28"/>
          <w:szCs w:val="28"/>
        </w:rPr>
        <w:t>万元，占收入合计的</w:t>
      </w:r>
      <w:r>
        <w:rPr>
          <w:rFonts w:hint="eastAsia" w:ascii="仿宋_GB2312" w:eastAsia="仿宋_GB2312"/>
          <w:sz w:val="28"/>
          <w:szCs w:val="28"/>
          <w:lang w:eastAsia="zh-CN"/>
        </w:rPr>
        <w:t>99.74</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14.05</w:t>
      </w:r>
      <w:r>
        <w:rPr>
          <w:rFonts w:hint="eastAsia" w:ascii="仿宋_GB2312" w:eastAsia="仿宋_GB2312"/>
          <w:sz w:val="28"/>
          <w:szCs w:val="28"/>
        </w:rPr>
        <w:t>万元，占收入合计的</w:t>
      </w:r>
      <w:r>
        <w:rPr>
          <w:rFonts w:hint="eastAsia" w:ascii="仿宋_GB2312" w:eastAsia="仿宋_GB2312"/>
          <w:sz w:val="28"/>
          <w:szCs w:val="28"/>
          <w:lang w:eastAsia="zh-CN"/>
        </w:rPr>
        <w:t>0.26</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4563.64万元，比上年减少810.42万元，下降15.08%，其中：基本支出0万元，占支出合计的0%；项目支出4563.64万元，占支出合计的100%;上缴上级支出0万元，占支出合计的0%；经营支出0万元，占支出合计的0%；对附属单位补助支出0万元，占支出合计的0%。</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2024年度财政拨款收、支总计5369.09万元，增加</w:t>
      </w:r>
      <w:r>
        <w:rPr>
          <w:rFonts w:hint="eastAsia" w:ascii="仿宋_GB2312" w:eastAsia="仿宋_GB2312"/>
          <w:sz w:val="28"/>
          <w:szCs w:val="28"/>
          <w:lang w:val="en-US" w:eastAsia="zh-CN"/>
        </w:rPr>
        <w:t>712.96</w:t>
      </w:r>
      <w:r>
        <w:rPr>
          <w:rFonts w:hint="eastAsia" w:ascii="仿宋_GB2312" w:eastAsia="仿宋_GB2312"/>
          <w:sz w:val="28"/>
          <w:szCs w:val="28"/>
        </w:rPr>
        <w:t>万元，增长</w:t>
      </w:r>
      <w:r>
        <w:rPr>
          <w:rFonts w:hint="eastAsia" w:ascii="仿宋_GB2312" w:eastAsia="仿宋_GB2312"/>
          <w:sz w:val="28"/>
          <w:szCs w:val="28"/>
          <w:lang w:val="en-US" w:eastAsia="zh-CN"/>
        </w:rPr>
        <w:t>15.31</w:t>
      </w:r>
      <w:r>
        <w:rPr>
          <w:rFonts w:hint="eastAsia" w:ascii="仿宋_GB2312" w:eastAsia="仿宋_GB2312"/>
          <w:sz w:val="28"/>
          <w:szCs w:val="28"/>
        </w:rPr>
        <w:t>%。主要原因：配合博物馆之城建设和世界文化遗产保护</w:t>
      </w:r>
      <w:r>
        <w:rPr>
          <w:rFonts w:hint="eastAsia" w:ascii="仿宋_GB2312" w:eastAsia="仿宋_GB2312"/>
          <w:sz w:val="28"/>
          <w:szCs w:val="28"/>
          <w:lang w:eastAsia="zh-CN"/>
        </w:rPr>
        <w:t>安排</w:t>
      </w:r>
      <w:r>
        <w:rPr>
          <w:rFonts w:hint="eastAsia" w:ascii="仿宋_GB2312" w:eastAsia="仿宋_GB2312"/>
          <w:sz w:val="28"/>
          <w:szCs w:val="28"/>
        </w:rPr>
        <w:t>了部分相关经费。</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4443.49</w:t>
      </w:r>
      <w:r>
        <w:rPr>
          <w:rFonts w:hint="eastAsia" w:ascii="仿宋_GB2312" w:eastAsia="仿宋_GB2312"/>
          <w:sz w:val="28"/>
          <w:szCs w:val="28"/>
        </w:rPr>
        <w:t>万元，主要用于以下方面（按大类）：</w:t>
      </w:r>
      <w:r>
        <w:rPr>
          <w:rFonts w:hint="eastAsia" w:ascii="CESI仿宋-GB2312" w:hAnsi="CESI仿宋-GB2312" w:eastAsia="CESI仿宋-GB2312" w:cs="CESI仿宋-GB2312"/>
          <w:b w:val="0"/>
          <w:bCs/>
          <w:sz w:val="28"/>
          <w:szCs w:val="28"/>
          <w:lang w:val="en-US" w:eastAsia="zh-CN"/>
        </w:rPr>
        <w:t>89.52</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2.01</w:t>
      </w:r>
      <w:r>
        <w:rPr>
          <w:rFonts w:hint="eastAsia" w:ascii="CESI仿宋-GB2312" w:hAnsi="CESI仿宋-GB2312" w:eastAsia="CESI仿宋-GB2312" w:cs="CESI仿宋-GB2312"/>
          <w:b w:val="0"/>
          <w:bCs/>
          <w:sz w:val="28"/>
          <w:szCs w:val="28"/>
        </w:rPr>
        <w:t>%； 文化旅游体育与传媒支出</w:t>
      </w:r>
      <w:r>
        <w:rPr>
          <w:rFonts w:hint="eastAsia" w:ascii="CESI仿宋-GB2312" w:hAnsi="CESI仿宋-GB2312" w:eastAsia="CESI仿宋-GB2312" w:cs="CESI仿宋-GB2312"/>
          <w:b w:val="0"/>
          <w:bCs/>
          <w:sz w:val="28"/>
          <w:szCs w:val="28"/>
          <w:lang w:val="en-US" w:eastAsia="zh-CN"/>
        </w:rPr>
        <w:t>4353.97</w:t>
      </w:r>
      <w:r>
        <w:rPr>
          <w:rFonts w:hint="eastAsia" w:ascii="CESI仿宋-GB2312" w:hAnsi="CESI仿宋-GB2312" w:eastAsia="CESI仿宋-GB2312" w:cs="CESI仿宋-GB2312"/>
          <w:b w:val="0"/>
          <w:bCs/>
          <w:sz w:val="28"/>
          <w:szCs w:val="28"/>
        </w:rPr>
        <w:t>万元，占本年财政拨款支出</w:t>
      </w:r>
      <w:r>
        <w:rPr>
          <w:rFonts w:hint="eastAsia" w:ascii="CESI仿宋-GB2312" w:hAnsi="CESI仿宋-GB2312" w:eastAsia="CESI仿宋-GB2312" w:cs="CESI仿宋-GB2312"/>
          <w:b w:val="0"/>
          <w:bCs/>
          <w:sz w:val="28"/>
          <w:szCs w:val="28"/>
          <w:lang w:eastAsia="zh-CN"/>
        </w:rPr>
        <w:t>的</w:t>
      </w:r>
      <w:r>
        <w:rPr>
          <w:rFonts w:hint="eastAsia" w:ascii="CESI仿宋-GB2312" w:hAnsi="CESI仿宋-GB2312" w:eastAsia="CESI仿宋-GB2312" w:cs="CESI仿宋-GB2312"/>
          <w:b w:val="0"/>
          <w:bCs/>
          <w:sz w:val="28"/>
          <w:szCs w:val="28"/>
          <w:lang w:val="en-US" w:eastAsia="zh-CN"/>
        </w:rPr>
        <w:t>97.99</w:t>
      </w:r>
      <w:r>
        <w:rPr>
          <w:rFonts w:hint="eastAsia" w:ascii="CESI仿宋-GB2312" w:hAnsi="CESI仿宋-GB2312" w:eastAsia="CESI仿宋-GB2312" w:cs="CESI仿宋-GB2312"/>
          <w:b w:val="0"/>
          <w:bCs/>
          <w:sz w:val="28"/>
          <w:szCs w:val="28"/>
        </w:rPr>
        <w:t>%</w:t>
      </w:r>
      <w:r>
        <w:rPr>
          <w:rFonts w:hint="eastAsia" w:ascii="CESI仿宋-GB2312" w:hAnsi="CESI仿宋-GB2312" w:eastAsia="CESI仿宋-GB2312" w:cs="CESI仿宋-GB2312"/>
          <w:b w:val="0"/>
          <w:bCs/>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1．“教育支出”（类）2024年度2024年度年初预算</w:t>
      </w:r>
      <w:r>
        <w:rPr>
          <w:rFonts w:hint="eastAsia" w:ascii="仿宋_GB2312" w:eastAsia="仿宋_GB2312"/>
          <w:sz w:val="28"/>
          <w:szCs w:val="28"/>
          <w:lang w:val="en-US" w:eastAsia="zh-CN"/>
        </w:rPr>
        <w:t>99</w:t>
      </w:r>
      <w:r>
        <w:rPr>
          <w:rFonts w:hint="eastAsia" w:ascii="仿宋_GB2312" w:eastAsia="仿宋_GB2312"/>
          <w:sz w:val="28"/>
          <w:szCs w:val="28"/>
        </w:rPr>
        <w:t>万元，2024年度决算</w:t>
      </w:r>
      <w:r>
        <w:rPr>
          <w:rFonts w:hint="eastAsia" w:ascii="仿宋_GB2312" w:eastAsia="仿宋_GB2312"/>
          <w:sz w:val="28"/>
          <w:szCs w:val="28"/>
          <w:lang w:val="en-US" w:eastAsia="zh-CN"/>
        </w:rPr>
        <w:t>89.52</w:t>
      </w:r>
      <w:r>
        <w:rPr>
          <w:rFonts w:hint="eastAsia" w:ascii="仿宋_GB2312" w:eastAsia="仿宋_GB2312"/>
          <w:sz w:val="28"/>
          <w:szCs w:val="28"/>
        </w:rPr>
        <w:t>万元，完成年初预算的</w:t>
      </w:r>
      <w:r>
        <w:rPr>
          <w:rFonts w:hint="eastAsia" w:ascii="仿宋_GB2312" w:eastAsia="仿宋_GB2312"/>
          <w:sz w:val="28"/>
          <w:szCs w:val="28"/>
          <w:lang w:val="en-US" w:eastAsia="zh-CN"/>
        </w:rPr>
        <w:t>90.42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“进修及培训”（款）2024年度年初预算</w:t>
      </w:r>
      <w:r>
        <w:rPr>
          <w:rFonts w:hint="eastAsia" w:ascii="仿宋_GB2312" w:eastAsia="仿宋_GB2312"/>
          <w:sz w:val="28"/>
          <w:szCs w:val="28"/>
          <w:lang w:val="en-US" w:eastAsia="zh-CN"/>
        </w:rPr>
        <w:t>99</w:t>
      </w:r>
      <w:r>
        <w:rPr>
          <w:rFonts w:hint="eastAsia" w:ascii="仿宋_GB2312" w:eastAsia="仿宋_GB2312"/>
          <w:sz w:val="28"/>
          <w:szCs w:val="28"/>
        </w:rPr>
        <w:t>万元，2024年度决算</w:t>
      </w:r>
      <w:r>
        <w:rPr>
          <w:rFonts w:hint="eastAsia" w:ascii="仿宋_GB2312" w:eastAsia="仿宋_GB2312"/>
          <w:sz w:val="28"/>
          <w:szCs w:val="28"/>
          <w:lang w:val="en-US" w:eastAsia="zh-CN"/>
        </w:rPr>
        <w:t>89.52</w:t>
      </w:r>
      <w:r>
        <w:rPr>
          <w:rFonts w:hint="eastAsia" w:ascii="仿宋_GB2312" w:eastAsia="仿宋_GB2312"/>
          <w:sz w:val="28"/>
          <w:szCs w:val="28"/>
        </w:rPr>
        <w:t>万元，完成年初预算的</w:t>
      </w:r>
      <w:r>
        <w:rPr>
          <w:rFonts w:hint="eastAsia" w:ascii="仿宋_GB2312" w:eastAsia="仿宋_GB2312"/>
          <w:sz w:val="28"/>
          <w:szCs w:val="28"/>
          <w:lang w:val="en-US" w:eastAsia="zh-CN"/>
        </w:rPr>
        <w:t>90.42</w:t>
      </w:r>
      <w:r>
        <w:rPr>
          <w:rFonts w:hint="eastAsia" w:ascii="仿宋_GB2312" w:eastAsia="仿宋_GB2312"/>
          <w:sz w:val="28"/>
          <w:szCs w:val="28"/>
        </w:rPr>
        <w:t>%。主要原因：落实政府过紧日子要求，厉行勤俭节约要求，严格控制培训费用支出。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2．“文化旅游体育与传媒支出”（类）2024年度年初预算</w:t>
      </w:r>
      <w:r>
        <w:rPr>
          <w:rFonts w:hint="eastAsia" w:ascii="仿宋_GB2312" w:eastAsia="仿宋_GB2312"/>
          <w:sz w:val="28"/>
          <w:szCs w:val="28"/>
          <w:lang w:val="en-US" w:eastAsia="zh-CN"/>
        </w:rPr>
        <w:t>5568.12</w:t>
      </w:r>
      <w:r>
        <w:rPr>
          <w:rFonts w:hint="eastAsia" w:ascii="仿宋_GB2312" w:eastAsia="仿宋_GB2312"/>
          <w:sz w:val="28"/>
          <w:szCs w:val="28"/>
        </w:rPr>
        <w:t>万元，2024年度决算</w:t>
      </w:r>
      <w:r>
        <w:rPr>
          <w:rFonts w:hint="eastAsia" w:ascii="仿宋_GB2312" w:eastAsia="仿宋_GB2312"/>
          <w:sz w:val="28"/>
          <w:szCs w:val="28"/>
          <w:lang w:val="en-US" w:eastAsia="zh-CN"/>
        </w:rPr>
        <w:t>4353.97</w:t>
      </w:r>
      <w:r>
        <w:rPr>
          <w:rFonts w:hint="eastAsia" w:ascii="仿宋_GB2312" w:eastAsia="仿宋_GB2312"/>
          <w:sz w:val="28"/>
          <w:szCs w:val="28"/>
        </w:rPr>
        <w:t>万元，完成年初预算的</w:t>
      </w:r>
      <w:r>
        <w:rPr>
          <w:rFonts w:hint="eastAsia" w:ascii="仿宋_GB2312" w:eastAsia="仿宋_GB2312"/>
          <w:sz w:val="28"/>
          <w:szCs w:val="28"/>
          <w:lang w:val="en-US" w:eastAsia="zh-CN"/>
        </w:rPr>
        <w:t>78.19</w:t>
      </w:r>
      <w:r>
        <w:rPr>
          <w:rFonts w:hint="eastAsia" w:ascii="仿宋_GB2312" w:eastAsia="仿宋_GB2312"/>
          <w:sz w:val="28"/>
          <w:szCs w:val="28"/>
        </w:rPr>
        <w:t>%。其中：</w:t>
      </w:r>
    </w:p>
    <w:p>
      <w:pPr>
        <w:spacing w:line="580" w:lineRule="exact"/>
        <w:ind w:firstLine="560" w:firstLineChars="200"/>
        <w:rPr>
          <w:rFonts w:ascii="仿宋_GB2312" w:eastAsia="仿宋_GB2312"/>
          <w:color w:val="000000" w:themeColor="text1"/>
          <w:sz w:val="28"/>
          <w:szCs w:val="28"/>
          <w14:textFill>
            <w14:solidFill>
              <w14:schemeClr w14:val="tx1"/>
            </w14:solidFill>
          </w14:textFill>
        </w:rPr>
      </w:pPr>
      <w:r>
        <w:rPr>
          <w:rFonts w:hint="eastAsia" w:ascii="仿宋_GB2312" w:eastAsia="仿宋_GB2312"/>
          <w:sz w:val="28"/>
          <w:szCs w:val="28"/>
        </w:rPr>
        <w:t xml:space="preserve"> “文物”（款）2024年度年初预算</w:t>
      </w:r>
      <w:r>
        <w:rPr>
          <w:rFonts w:hint="eastAsia" w:ascii="仿宋_GB2312" w:eastAsia="仿宋_GB2312"/>
          <w:sz w:val="28"/>
          <w:szCs w:val="28"/>
          <w:lang w:val="en-US" w:eastAsia="zh-CN"/>
        </w:rPr>
        <w:t>5568.12</w:t>
      </w:r>
      <w:r>
        <w:rPr>
          <w:rFonts w:hint="eastAsia" w:ascii="仿宋_GB2312" w:eastAsia="仿宋_GB2312"/>
          <w:sz w:val="28"/>
          <w:szCs w:val="28"/>
        </w:rPr>
        <w:t>万元，2024年度决算</w:t>
      </w:r>
      <w:r>
        <w:rPr>
          <w:rFonts w:hint="eastAsia" w:ascii="仿宋_GB2312" w:eastAsia="仿宋_GB2312"/>
          <w:sz w:val="28"/>
          <w:szCs w:val="28"/>
          <w:lang w:val="en-US" w:eastAsia="zh-CN"/>
        </w:rPr>
        <w:t>4353.97</w:t>
      </w:r>
      <w:r>
        <w:rPr>
          <w:rFonts w:hint="eastAsia" w:ascii="仿宋_GB2312" w:eastAsia="仿宋_GB2312"/>
          <w:sz w:val="28"/>
          <w:szCs w:val="28"/>
        </w:rPr>
        <w:t>万元，完成年初预算的</w:t>
      </w:r>
      <w:r>
        <w:rPr>
          <w:rFonts w:hint="eastAsia" w:ascii="仿宋_GB2312" w:eastAsia="仿宋_GB2312"/>
          <w:sz w:val="28"/>
          <w:szCs w:val="28"/>
          <w:lang w:val="en-US" w:eastAsia="zh-CN"/>
        </w:rPr>
        <w:t>78.19</w:t>
      </w:r>
      <w:r>
        <w:rPr>
          <w:rFonts w:hint="eastAsia" w:ascii="仿宋_GB2312" w:eastAsia="仿宋_GB2312"/>
          <w:sz w:val="28"/>
          <w:szCs w:val="28"/>
        </w:rPr>
        <w:t>%。主要原因：</w:t>
      </w:r>
      <w:r>
        <w:rPr>
          <w:rFonts w:hint="eastAsia" w:ascii="仿宋_GB2312" w:eastAsia="仿宋_GB2312"/>
          <w:color w:val="000000" w:themeColor="text1"/>
          <w:sz w:val="28"/>
          <w:szCs w:val="28"/>
          <w14:textFill>
            <w14:solidFill>
              <w14:schemeClr w14:val="tx1"/>
            </w14:solidFill>
          </w14:textFill>
        </w:rPr>
        <w:t>落实政府过紧日子要求，厉行勤俭节约要求，严格控制项目支出。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本年度无此项经费支出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91.63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69</w:t>
      </w:r>
      <w:r>
        <w:rPr>
          <w:rFonts w:hint="eastAsia" w:ascii="仿宋_GB2312" w:eastAsia="仿宋_GB2312"/>
          <w:sz w:val="28"/>
          <w:szCs w:val="28"/>
        </w:rPr>
        <w:t>万元增加</w:t>
      </w:r>
      <w:r>
        <w:rPr>
          <w:rFonts w:ascii="仿宋_GB2312" w:eastAsia="仿宋_GB2312"/>
          <w:sz w:val="28"/>
          <w:szCs w:val="28"/>
        </w:rPr>
        <w:t>22.63</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91.63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69</w:t>
      </w:r>
      <w:r>
        <w:rPr>
          <w:rFonts w:hint="eastAsia" w:ascii="仿宋_GB2312" w:eastAsia="仿宋_GB2312"/>
          <w:sz w:val="28"/>
          <w:szCs w:val="28"/>
        </w:rPr>
        <w:t>万元增加</w:t>
      </w:r>
      <w:r>
        <w:rPr>
          <w:rFonts w:ascii="仿宋_GB2312" w:eastAsia="仿宋_GB2312"/>
          <w:sz w:val="28"/>
          <w:szCs w:val="28"/>
        </w:rPr>
        <w:t>22.63</w:t>
      </w:r>
      <w:r>
        <w:rPr>
          <w:rFonts w:hint="eastAsia" w:ascii="仿宋_GB2312" w:eastAsia="仿宋_GB2312"/>
          <w:sz w:val="28"/>
          <w:szCs w:val="28"/>
        </w:rPr>
        <w:t>万元。主要原因：是按照北京中轴线申遗保护的工作要求</w:t>
      </w:r>
      <w:r>
        <w:rPr>
          <w:rFonts w:hint="eastAsia" w:ascii="仿宋_GB2312" w:eastAsia="仿宋_GB2312"/>
          <w:sz w:val="28"/>
          <w:szCs w:val="28"/>
          <w:lang w:eastAsia="zh-CN"/>
        </w:rPr>
        <w:t>，</w:t>
      </w:r>
      <w:r>
        <w:rPr>
          <w:rFonts w:hint="eastAsia" w:ascii="仿宋_GB2312" w:eastAsia="仿宋_GB2312"/>
          <w:sz w:val="28"/>
          <w:szCs w:val="28"/>
        </w:rPr>
        <w:t>增加赴印度参加世界遗产大会团组等活动。2024年度因公出国（境）费用主要用于中轴线申遗保护工作及文物保护交流等方面，2024年度组织因公出国（境）团组4个、13人次。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本单位无此项支出。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3.公务用车购置及运行维护费。</w:t>
      </w:r>
      <w:r>
        <w:rPr>
          <w:rFonts w:hint="eastAsia" w:ascii="仿宋_GB2312" w:eastAsia="仿宋_GB2312"/>
          <w:sz w:val="28"/>
          <w:szCs w:val="28"/>
          <w:lang w:eastAsia="zh-CN"/>
        </w:rPr>
        <w:t>本单位无此项支出。</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本单位无此项支出</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909.16</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909.16</w:t>
      </w:r>
      <w:r>
        <w:rPr>
          <w:rFonts w:hint="eastAsia" w:ascii="仿宋_GB2312" w:eastAsia="仿宋_GB2312"/>
          <w:sz w:val="28"/>
          <w:szCs w:val="28"/>
        </w:rPr>
        <w:t>万元。授予中小企业合同金额</w:t>
      </w:r>
      <w:r>
        <w:rPr>
          <w:rFonts w:ascii="仿宋_GB2312" w:eastAsia="仿宋_GB2312"/>
          <w:sz w:val="28"/>
          <w:szCs w:val="28"/>
        </w:rPr>
        <w:t>444.36</w:t>
      </w:r>
      <w:r>
        <w:rPr>
          <w:rFonts w:hint="eastAsia" w:ascii="仿宋_GB2312" w:eastAsia="仿宋_GB2312"/>
          <w:sz w:val="28"/>
          <w:szCs w:val="28"/>
        </w:rPr>
        <w:t>万元，占政府采购支出总额的</w:t>
      </w:r>
      <w:r>
        <w:rPr>
          <w:rFonts w:hint="eastAsia" w:ascii="仿宋_GB2312" w:eastAsia="仿宋_GB2312"/>
          <w:sz w:val="28"/>
          <w:szCs w:val="28"/>
          <w:lang w:eastAsia="zh-CN"/>
        </w:rPr>
        <w:t>48.88</w:t>
      </w:r>
      <w:r>
        <w:rPr>
          <w:rFonts w:hint="eastAsia" w:ascii="仿宋_GB2312" w:eastAsia="仿宋_GB2312"/>
          <w:sz w:val="28"/>
          <w:szCs w:val="28"/>
        </w:rPr>
        <w:t>%，其中：授予小微企业合同金额</w:t>
      </w:r>
      <w:r>
        <w:rPr>
          <w:rFonts w:ascii="仿宋_GB2312" w:eastAsia="仿宋_GB2312"/>
          <w:sz w:val="28"/>
          <w:szCs w:val="28"/>
        </w:rPr>
        <w:t>444.36</w:t>
      </w:r>
      <w:r>
        <w:rPr>
          <w:rFonts w:hint="eastAsia" w:ascii="仿宋_GB2312" w:eastAsia="仿宋_GB2312"/>
          <w:sz w:val="28"/>
          <w:szCs w:val="28"/>
        </w:rPr>
        <w:t>万元，占政府采购支出总额的</w:t>
      </w:r>
      <w:r>
        <w:rPr>
          <w:rFonts w:ascii="仿宋_GB2312" w:eastAsia="仿宋_GB2312"/>
          <w:sz w:val="28"/>
          <w:szCs w:val="28"/>
        </w:rPr>
        <w:t>48.88</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12月31日，北京市文物局本级事业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政府购买服务决算3070.17</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教育支出</w:t>
      </w:r>
      <w:r>
        <w:rPr>
          <w:rFonts w:hint="eastAsia" w:ascii="仿宋_GB2312" w:eastAsia="仿宋_GB2312"/>
          <w:sz w:val="28"/>
          <w:szCs w:val="28"/>
        </w:rPr>
        <w:t>（类）</w:t>
      </w:r>
      <w:r>
        <w:rPr>
          <w:rFonts w:hint="eastAsia" w:ascii="仿宋_GB2312" w:eastAsia="仿宋_GB2312"/>
          <w:sz w:val="28"/>
          <w:szCs w:val="28"/>
          <w:lang w:eastAsia="zh-CN"/>
        </w:rPr>
        <w:t>进修及培训</w:t>
      </w:r>
      <w:r>
        <w:rPr>
          <w:rFonts w:hint="eastAsia" w:ascii="仿宋_GB2312" w:eastAsia="仿宋_GB2312"/>
          <w:sz w:val="28"/>
          <w:szCs w:val="28"/>
        </w:rPr>
        <w:t>（款）</w:t>
      </w:r>
      <w:r>
        <w:rPr>
          <w:rFonts w:hint="eastAsia" w:ascii="仿宋_GB2312" w:eastAsia="仿宋_GB2312"/>
          <w:sz w:val="28"/>
          <w:szCs w:val="28"/>
          <w:lang w:eastAsia="zh-CN"/>
        </w:rPr>
        <w:t>培训支出</w:t>
      </w:r>
      <w:r>
        <w:rPr>
          <w:rFonts w:hint="eastAsia" w:ascii="仿宋_GB2312" w:eastAsia="仿宋_GB2312"/>
          <w:sz w:val="28"/>
          <w:szCs w:val="28"/>
        </w:rPr>
        <w:t>（项）：反映</w:t>
      </w:r>
      <w:r>
        <w:rPr>
          <w:rFonts w:hint="eastAsia" w:ascii="仿宋_GB2312" w:eastAsia="仿宋_GB2312"/>
          <w:sz w:val="28"/>
          <w:szCs w:val="28"/>
          <w:lang w:eastAsia="zh-CN"/>
        </w:rPr>
        <w:t>本单位安排的用于培训的支出。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w:t>
      </w:r>
      <w:r>
        <w:rPr>
          <w:rFonts w:hint="eastAsia" w:ascii="仿宋_GB2312" w:eastAsia="仿宋_GB2312"/>
          <w:sz w:val="28"/>
          <w:szCs w:val="28"/>
          <w:lang w:eastAsia="zh-CN"/>
        </w:rPr>
        <w:t>博物馆</w:t>
      </w:r>
      <w:r>
        <w:rPr>
          <w:rFonts w:hint="eastAsia" w:ascii="仿宋_GB2312" w:eastAsia="仿宋_GB2312"/>
          <w:sz w:val="28"/>
          <w:szCs w:val="28"/>
        </w:rPr>
        <w:t>（项）：反映</w:t>
      </w:r>
      <w:r>
        <w:rPr>
          <w:rFonts w:hint="eastAsia" w:ascii="仿宋_GB2312" w:eastAsia="仿宋_GB2312"/>
          <w:sz w:val="28"/>
          <w:szCs w:val="28"/>
          <w:lang w:eastAsia="zh-CN"/>
        </w:rPr>
        <w:t>文物系统及其它部门所属博物馆、纪念馆方面的支出</w:t>
      </w:r>
      <w:r>
        <w:rPr>
          <w:rFonts w:hint="eastAsia"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文化旅游体育与传媒支出（类）文物（款）</w:t>
      </w:r>
      <w:r>
        <w:rPr>
          <w:rFonts w:hint="eastAsia" w:ascii="仿宋_GB2312" w:eastAsia="仿宋_GB2312"/>
          <w:sz w:val="28"/>
          <w:szCs w:val="28"/>
          <w:lang w:eastAsia="zh-CN"/>
        </w:rPr>
        <w:t>历史名城与古迹</w:t>
      </w:r>
      <w:r>
        <w:rPr>
          <w:rFonts w:hint="eastAsia" w:ascii="仿宋_GB2312" w:eastAsia="仿宋_GB2312"/>
          <w:sz w:val="28"/>
          <w:szCs w:val="28"/>
        </w:rPr>
        <w:t>（项）：反映</w:t>
      </w:r>
      <w:r>
        <w:rPr>
          <w:rFonts w:hint="eastAsia" w:ascii="仿宋_GB2312" w:eastAsia="仿宋_GB2312"/>
          <w:sz w:val="28"/>
          <w:szCs w:val="28"/>
          <w:lang w:eastAsia="zh-CN"/>
        </w:rPr>
        <w:t>历史名城、世界遗产规划与古迹保护等方面的支出</w:t>
      </w:r>
      <w:r>
        <w:rPr>
          <w:rFonts w:hint="eastAsia"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文化旅游体育与传媒支出（类）文物（款）其他文物支出（项）：反映除上述项目以外其他用于文物方面的支出。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left="70" w:leftChars="0" w:firstLine="560" w:firstLineChars="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ind w:firstLine="420" w:firstLineChars="0"/>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CESI仿宋-GB2312">
    <w:altName w:val="方正仿宋_GBK"/>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pPr>
        <w:ind w:left="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2FFF3335"/>
    <w:rsid w:val="301437CA"/>
    <w:rsid w:val="31BD4177"/>
    <w:rsid w:val="33FBEFD6"/>
    <w:rsid w:val="349D1F0A"/>
    <w:rsid w:val="34DD0473"/>
    <w:rsid w:val="37D1F247"/>
    <w:rsid w:val="3C684897"/>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3FD183"/>
    <w:rsid w:val="65756C86"/>
    <w:rsid w:val="674D385B"/>
    <w:rsid w:val="676F09E1"/>
    <w:rsid w:val="71793A80"/>
    <w:rsid w:val="7357290B"/>
    <w:rsid w:val="798524E4"/>
    <w:rsid w:val="7A7F1C49"/>
    <w:rsid w:val="7B5B7AE6"/>
    <w:rsid w:val="7B7B6628"/>
    <w:rsid w:val="7BA7071E"/>
    <w:rsid w:val="7BDF6DA8"/>
    <w:rsid w:val="7C7EDC1A"/>
    <w:rsid w:val="7CCED98D"/>
    <w:rsid w:val="7D08410F"/>
    <w:rsid w:val="7DB96DED"/>
    <w:rsid w:val="7DD3AD81"/>
    <w:rsid w:val="7EE65FE0"/>
    <w:rsid w:val="7F3F2165"/>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AB7ADD5"/>
    <w:rsid w:val="EDAA365C"/>
    <w:rsid w:val="EDADFC12"/>
    <w:rsid w:val="EF27D2BD"/>
    <w:rsid w:val="F2FD229B"/>
    <w:rsid w:val="F7F709E9"/>
    <w:rsid w:val="F7FF3690"/>
    <w:rsid w:val="F9BD3900"/>
    <w:rsid w:val="FBDD1C5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3"/>
              <c:layout>
                <c:manualLayout>
                  <c:x val="-0.0403020204091452"/>
                  <c:y val="-0.063249273892805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88579527490808"/>
                  <c:y val="0.022652007808858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39443711071491"/>
                  <c:y val="0.055376630392428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5369.09</c:v>
                </c:pt>
                <c:pt idx="1">
                  <c:v>0</c:v>
                </c:pt>
                <c:pt idx="2">
                  <c:v>0</c:v>
                </c:pt>
                <c:pt idx="3">
                  <c:v>0</c:v>
                </c:pt>
                <c:pt idx="4">
                  <c:v>0</c:v>
                </c:pt>
                <c:pt idx="5">
                  <c:v>14.05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141666666666667"/>
                  <c:y val="-0.02777777777777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93170396067817"/>
                  <c:y val="0.039771588055232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52083333333333"/>
                  <c:y val="0.10069444444444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69344563974723"/>
                  <c:y val="-0.069349881601048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4563.64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5781</Characters>
  <Lines>44</Lines>
  <Paragraphs>12</Paragraphs>
  <TotalTime>0</TotalTime>
  <ScaleCrop>false</ScaleCrop>
  <LinksUpToDate>false</LinksUpToDate>
  <CharactersWithSpaces>5802</CharactersWithSpaces>
  <Application>WPS Office_11.8.2.12185_F1E327BC-269C-435d-A152-05C5408002CA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fuying</cp:lastModifiedBy>
  <cp:lastPrinted>2020-08-09T03:39:00Z</cp:lastPrinted>
  <dcterms:modified xsi:type="dcterms:W3CDTF">2025-09-09T09:14:20Z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