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both"/>
        <w:rPr>
          <w:rFonts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lang w:val="en-US" w:eastAsia="zh-CN"/>
        </w:rPr>
        <w:t>首都博物馆</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首都博物馆现有9个正处级内设机构，分别是：办公室、藏品部、保护部、展览部、公众服务部、安全技术部、党建人事部、财务管理部、北京大运河博物馆（首都博物馆东馆）。另设有4个正处级分支机构，分别是：北京四合院博物馆、北京市白塔寺管理处、北京文博交流馆（北京市智化寺管理处）、老舍纪念馆。</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首都博物馆主要职能包括：负责收藏、保护、研究与展示北京历史文化和艺术，解读北京历史，传承中华文化，展示世界文明，主要业务范围是文物征集与收藏，藏品保护与修复，展览与展示，社会教育与活动，公众服务与传播，博物馆数字化及相关科技研究与应用，北京历史文化与文物研究，博物馆学研究等。</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64230.62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减少9063.49万元，下降12.37%。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51477.45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减少8813.18万元，下降14.62%。</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50298.78</w:t>
      </w:r>
      <w:r>
        <w:rPr>
          <w:rFonts w:hint="eastAsia" w:ascii="仿宋_GB2312" w:eastAsia="仿宋_GB2312"/>
          <w:sz w:val="28"/>
          <w:szCs w:val="28"/>
        </w:rPr>
        <w:t>万元，占收入合计的</w:t>
      </w:r>
      <w:r>
        <w:rPr>
          <w:rFonts w:hint="eastAsia" w:ascii="仿宋_GB2312" w:eastAsia="仿宋_GB2312"/>
          <w:sz w:val="28"/>
          <w:szCs w:val="28"/>
          <w:lang w:eastAsia="zh-CN"/>
        </w:rPr>
        <w:t>97.71%。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50298.78</w:t>
      </w:r>
      <w:r>
        <w:rPr>
          <w:rFonts w:hint="eastAsia" w:ascii="仿宋_GB2312" w:eastAsia="仿宋_GB2312"/>
          <w:sz w:val="28"/>
          <w:szCs w:val="28"/>
        </w:rPr>
        <w:t>万元，占收入合计的</w:t>
      </w:r>
      <w:r>
        <w:rPr>
          <w:rFonts w:hint="eastAsia" w:ascii="仿宋_GB2312" w:eastAsia="仿宋_GB2312"/>
          <w:sz w:val="28"/>
          <w:szCs w:val="28"/>
          <w:lang w:eastAsia="zh-CN"/>
        </w:rPr>
        <w:t>97.71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871.41</w:t>
      </w:r>
      <w:r>
        <w:rPr>
          <w:rFonts w:hint="eastAsia" w:ascii="仿宋_GB2312" w:eastAsia="仿宋_GB2312"/>
          <w:sz w:val="28"/>
          <w:szCs w:val="28"/>
        </w:rPr>
        <w:t>万元，占收入合计的</w:t>
      </w:r>
      <w:r>
        <w:rPr>
          <w:rFonts w:hint="eastAsia" w:ascii="仿宋_GB2312" w:eastAsia="仿宋_GB2312"/>
          <w:sz w:val="28"/>
          <w:szCs w:val="28"/>
          <w:lang w:eastAsia="zh-CN"/>
        </w:rPr>
        <w:t>1.69</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307.25</w:t>
      </w:r>
      <w:r>
        <w:rPr>
          <w:rFonts w:hint="eastAsia" w:ascii="仿宋_GB2312" w:eastAsia="仿宋_GB2312"/>
          <w:sz w:val="28"/>
          <w:szCs w:val="28"/>
        </w:rPr>
        <w:t>万元，占收入合计的</w:t>
      </w:r>
      <w:r>
        <w:rPr>
          <w:rFonts w:hint="eastAsia" w:ascii="仿宋_GB2312" w:eastAsia="仿宋_GB2312"/>
          <w:sz w:val="28"/>
          <w:szCs w:val="28"/>
          <w:lang w:eastAsia="zh-CN"/>
        </w:rPr>
        <w:t>0.6</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48670.9</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减少9227.89万元，下降15.94%，其中：基本支出</w:t>
      </w:r>
      <w:r>
        <w:rPr>
          <w:rFonts w:ascii="仿宋_GB2312" w:eastAsia="仿宋_GB2312"/>
          <w:sz w:val="28"/>
          <w:szCs w:val="28"/>
        </w:rPr>
        <w:t>16592.14</w:t>
      </w:r>
      <w:r>
        <w:rPr>
          <w:rFonts w:hint="eastAsia" w:ascii="仿宋_GB2312" w:eastAsia="仿宋_GB2312"/>
          <w:sz w:val="28"/>
          <w:szCs w:val="28"/>
        </w:rPr>
        <w:t>万元，占支出合计的</w:t>
      </w:r>
      <w:r>
        <w:rPr>
          <w:rFonts w:hint="eastAsia" w:ascii="仿宋_GB2312" w:eastAsia="仿宋_GB2312"/>
          <w:sz w:val="28"/>
          <w:szCs w:val="28"/>
          <w:lang w:eastAsia="zh-CN"/>
        </w:rPr>
        <w:t>34.09</w:t>
      </w:r>
      <w:r>
        <w:rPr>
          <w:rFonts w:hint="eastAsia" w:ascii="仿宋_GB2312" w:eastAsia="仿宋_GB2312"/>
          <w:sz w:val="28"/>
          <w:szCs w:val="28"/>
        </w:rPr>
        <w:t>%；项目支出</w:t>
      </w:r>
      <w:r>
        <w:rPr>
          <w:rFonts w:ascii="仿宋_GB2312" w:eastAsia="仿宋_GB2312"/>
          <w:sz w:val="28"/>
          <w:szCs w:val="28"/>
        </w:rPr>
        <w:t>32078.76</w:t>
      </w:r>
      <w:r>
        <w:rPr>
          <w:rFonts w:hint="eastAsia" w:ascii="仿宋_GB2312" w:eastAsia="仿宋_GB2312"/>
          <w:sz w:val="28"/>
          <w:szCs w:val="28"/>
        </w:rPr>
        <w:t>万元，占支出合计的</w:t>
      </w:r>
      <w:r>
        <w:rPr>
          <w:rFonts w:hint="eastAsia" w:ascii="仿宋_GB2312" w:eastAsia="仿宋_GB2312"/>
          <w:sz w:val="28"/>
          <w:szCs w:val="28"/>
          <w:lang w:eastAsia="zh-CN"/>
        </w:rPr>
        <w:t>65.91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color w:val="auto"/>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61895.61</w:t>
      </w:r>
      <w:r>
        <w:rPr>
          <w:rFonts w:hint="eastAsia" w:ascii="仿宋_GB2312" w:eastAsia="仿宋_GB2312"/>
          <w:sz w:val="28"/>
          <w:szCs w:val="28"/>
        </w:rPr>
        <w:t>万元，比上年减少9143.59万元，下降12.87%。主要原因：</w:t>
      </w:r>
      <w:r>
        <w:rPr>
          <w:rFonts w:hint="eastAsia" w:ascii="仿宋_GB2312" w:eastAsia="仿宋_GB2312"/>
          <w:sz w:val="28"/>
          <w:szCs w:val="28"/>
          <w:highlight w:val="none"/>
        </w:rPr>
        <w:t>2024年北京大运河博物馆（首都博物馆东</w:t>
      </w:r>
      <w:bookmarkStart w:id="0" w:name="_GoBack"/>
      <w:bookmarkEnd w:id="0"/>
      <w:r>
        <w:rPr>
          <w:rFonts w:hint="eastAsia" w:ascii="仿宋_GB2312" w:eastAsia="仿宋_GB2312"/>
          <w:sz w:val="28"/>
          <w:szCs w:val="28"/>
          <w:highlight w:val="none"/>
        </w:rPr>
        <w:t>馆）</w:t>
      </w:r>
      <w:r>
        <w:rPr>
          <w:rFonts w:hint="eastAsia" w:ascii="仿宋_GB2312" w:eastAsia="仿宋_GB2312"/>
          <w:sz w:val="28"/>
          <w:szCs w:val="28"/>
          <w:highlight w:val="none"/>
          <w:lang w:val="en-US" w:eastAsia="zh-CN"/>
        </w:rPr>
        <w:t>完成</w:t>
      </w:r>
      <w:r>
        <w:rPr>
          <w:rFonts w:hint="eastAsia" w:ascii="仿宋_GB2312" w:eastAsia="仿宋_GB2312"/>
          <w:sz w:val="28"/>
          <w:szCs w:val="28"/>
          <w:highlight w:val="none"/>
        </w:rPr>
        <w:t>开办</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进入正常运营阶段，相关开办</w:t>
      </w:r>
      <w:r>
        <w:rPr>
          <w:rFonts w:hint="eastAsia" w:ascii="仿宋_GB2312" w:eastAsia="仿宋_GB2312"/>
          <w:sz w:val="28"/>
          <w:szCs w:val="28"/>
          <w:highlight w:val="none"/>
        </w:rPr>
        <w:t>项目经费减少</w:t>
      </w:r>
      <w:r>
        <w:rPr>
          <w:rFonts w:hint="eastAsia" w:ascii="仿宋_GB2312" w:eastAsia="仿宋_GB2312"/>
          <w:color w:val="auto"/>
          <w:sz w:val="28"/>
          <w:szCs w:val="28"/>
          <w:highlight w:val="none"/>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47983.85</w:t>
      </w:r>
      <w:r>
        <w:rPr>
          <w:rFonts w:hint="eastAsia" w:ascii="仿宋_GB2312" w:eastAsia="仿宋_GB2312"/>
          <w:sz w:val="28"/>
          <w:szCs w:val="28"/>
        </w:rPr>
        <w:t>万元，主要用于以下方面：教育支出7.94万元，占本年财政拨款支出0.02%；文化旅游体育与传媒支出47813.49万元，占本年财政拨款支出99.64%；社会保障和就业支出162.42万元，占本年财政拨款支出0.34%。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28.45</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27.91</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年度决算7.94万元，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28.45</w:t>
      </w:r>
      <w:r>
        <w:rPr>
          <w:rFonts w:hint="eastAsia" w:ascii="仿宋_GB2312" w:eastAsia="仿宋_GB2312"/>
          <w:sz w:val="28"/>
          <w:szCs w:val="28"/>
        </w:rPr>
        <w:t>%。主要原因：落实政府过紧日子要求，厉行勤俭节约要求，严格控制培训范围及规模，培训费支出相应减少。</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43121.43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年度决算47813.49万元，</w:t>
      </w:r>
      <w:r>
        <w:rPr>
          <w:rFonts w:hint="eastAsia" w:ascii="仿宋_GB2312" w:eastAsia="仿宋_GB2312"/>
          <w:sz w:val="28"/>
          <w:szCs w:val="28"/>
          <w:lang w:eastAsia="zh-CN"/>
        </w:rPr>
        <w:t>完成年初预算</w:t>
      </w:r>
      <w:r>
        <w:rPr>
          <w:rFonts w:hint="eastAsia" w:ascii="仿宋_GB2312" w:eastAsia="仿宋_GB2312"/>
          <w:sz w:val="28"/>
          <w:szCs w:val="28"/>
          <w:highlight w:val="none"/>
          <w:lang w:eastAsia="zh-CN"/>
        </w:rPr>
        <w:t>的</w:t>
      </w:r>
      <w:r>
        <w:rPr>
          <w:rFonts w:hint="eastAsia" w:ascii="仿宋_GB2312" w:eastAsia="仿宋_GB2312"/>
          <w:sz w:val="28"/>
          <w:szCs w:val="28"/>
          <w:highlight w:val="none"/>
          <w:lang w:val="en-US" w:eastAsia="zh-CN"/>
        </w:rPr>
        <w:t>110.88</w:t>
      </w:r>
      <w:r>
        <w:rPr>
          <w:rFonts w:hint="eastAsia" w:ascii="仿宋_GB2312" w:eastAsia="仿宋_GB2312"/>
          <w:sz w:val="28"/>
          <w:szCs w:val="28"/>
          <w:highlight w:val="none"/>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1300.00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1397.49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107.50</w:t>
      </w:r>
      <w:r>
        <w:rPr>
          <w:rFonts w:hint="eastAsia" w:ascii="仿宋_GB2312" w:eastAsia="仿宋_GB2312"/>
          <w:sz w:val="28"/>
          <w:szCs w:val="28"/>
        </w:rPr>
        <w:t>%。主要原因：为保障北京大运河博物馆（首都博物馆东馆）顺利运营，</w:t>
      </w:r>
      <w:r>
        <w:rPr>
          <w:rFonts w:hint="eastAsia" w:ascii="仿宋_GB2312" w:eastAsia="仿宋_GB2312"/>
          <w:sz w:val="28"/>
          <w:szCs w:val="28"/>
          <w:lang w:val="en-US" w:eastAsia="zh-CN"/>
        </w:rPr>
        <w:t>增加安排</w:t>
      </w:r>
      <w:r>
        <w:rPr>
          <w:rFonts w:hint="eastAsia" w:ascii="仿宋_GB2312" w:eastAsia="仿宋_GB2312"/>
          <w:sz w:val="28"/>
          <w:szCs w:val="28"/>
        </w:rPr>
        <w:t>了北京大运河博物馆（首都博物馆东馆）信息化工程项目经费。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41821.43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46416.00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110.99</w:t>
      </w:r>
      <w:r>
        <w:rPr>
          <w:rFonts w:hint="eastAsia" w:ascii="仿宋_GB2312" w:eastAsia="仿宋_GB2312"/>
          <w:sz w:val="28"/>
          <w:szCs w:val="28"/>
        </w:rPr>
        <w:t>%。主要原因：为保障北京大运河博物馆（首都博物馆东馆）顺利运营，</w:t>
      </w:r>
      <w:r>
        <w:rPr>
          <w:rFonts w:hint="eastAsia" w:ascii="仿宋_GB2312" w:eastAsia="仿宋_GB2312"/>
          <w:sz w:val="28"/>
          <w:szCs w:val="28"/>
          <w:lang w:val="en-US" w:eastAsia="zh-CN"/>
        </w:rPr>
        <w:t>增加安排</w:t>
      </w:r>
      <w:r>
        <w:rPr>
          <w:rFonts w:hint="eastAsia" w:ascii="仿宋_GB2312" w:eastAsia="仿宋_GB2312"/>
          <w:sz w:val="28"/>
          <w:szCs w:val="28"/>
        </w:rPr>
        <w:t>了北京大运河博物馆（首都博物馆东馆）开办及运维相关项目经费。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w:t>
      </w:r>
      <w:r>
        <w:rPr>
          <w:rFonts w:hint="eastAsia" w:ascii="仿宋_GB2312" w:eastAsia="仿宋_GB2312"/>
          <w:sz w:val="28"/>
          <w:szCs w:val="28"/>
          <w:lang w:val="en-US" w:eastAsia="zh-CN"/>
        </w:rPr>
        <w:t>社会保障和就业支出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162.42</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highlight w:val="none"/>
          <w:lang w:eastAsia="zh-CN"/>
        </w:rPr>
        <w:t>的</w:t>
      </w:r>
      <w:r>
        <w:rPr>
          <w:rFonts w:hint="eastAsia" w:ascii="仿宋_GB2312" w:eastAsia="仿宋_GB2312"/>
          <w:sz w:val="28"/>
          <w:szCs w:val="28"/>
          <w:highlight w:val="none"/>
          <w:lang w:val="en-US" w:eastAsia="zh-CN"/>
        </w:rPr>
        <w:t>99.43</w:t>
      </w:r>
      <w:r>
        <w:rPr>
          <w:rFonts w:hint="eastAsia" w:ascii="仿宋_GB2312" w:eastAsia="仿宋_GB2312"/>
          <w:sz w:val="28"/>
          <w:szCs w:val="28"/>
          <w:highlight w:val="none"/>
        </w:rPr>
        <w:t>%。</w:t>
      </w:r>
      <w:r>
        <w:rPr>
          <w:rFonts w:hint="eastAsia" w:ascii="仿宋_GB2312" w:eastAsia="仿宋_GB2312"/>
          <w:sz w:val="28"/>
          <w:szCs w:val="28"/>
        </w:rPr>
        <w:t>其中：</w:t>
      </w:r>
    </w:p>
    <w:p>
      <w:pPr>
        <w:spacing w:line="580" w:lineRule="exact"/>
        <w:ind w:firstLine="560" w:firstLineChars="200"/>
        <w:rPr>
          <w:highlight w:val="none"/>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163.34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162.42</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highlight w:val="none"/>
          <w:lang w:eastAsia="zh-CN"/>
        </w:rPr>
        <w:t>的</w:t>
      </w:r>
      <w:r>
        <w:rPr>
          <w:rFonts w:hint="eastAsia" w:ascii="仿宋_GB2312" w:eastAsia="仿宋_GB2312"/>
          <w:sz w:val="28"/>
          <w:szCs w:val="28"/>
          <w:highlight w:val="none"/>
          <w:lang w:val="en-US" w:eastAsia="zh-CN"/>
        </w:rPr>
        <w:t>99.43</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当年退休人员一次性独生子女奖励金支出减少</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本单位无此项经费。</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本单位无此项经费。</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16551.07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津贴补贴、伙食补助费、绩效工资、机关事业单位基本养老保险缴费、职业年金缴费、职工基本医疗保险缴费、公务员医疗补助缴费、其他社会保障缴费、住房公积金、其他工资福利支出；（2）商品和服务支出包括办公费、印刷费、手续费、水费、电费、邮电费、取暖费、物业管理费、差旅费、维修（护）费、会议费、培训费、专用材料费、工会经费、福利费、公务用车运行维护费、其他交通费、税金及附加费用、其他商品和服务支出；（3）对个人和家庭补助支出包括离休费、退休费、奖励金、其他对个人和家庭的补助支出。（4）其他资本性支出包括办公设备购置、专用设备购置</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18.33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31.13</w:t>
      </w:r>
      <w:r>
        <w:rPr>
          <w:rFonts w:hint="eastAsia" w:ascii="仿宋_GB2312" w:eastAsia="仿宋_GB2312"/>
          <w:sz w:val="28"/>
          <w:szCs w:val="28"/>
        </w:rPr>
        <w:t>万元减少</w:t>
      </w:r>
      <w:r>
        <w:rPr>
          <w:rFonts w:ascii="仿宋_GB2312" w:eastAsia="仿宋_GB2312"/>
          <w:sz w:val="28"/>
          <w:szCs w:val="28"/>
        </w:rPr>
        <w:t>12.8</w:t>
      </w:r>
      <w:r>
        <w:rPr>
          <w:rFonts w:hint="eastAsia" w:ascii="仿宋_GB2312" w:eastAsia="仿宋_GB2312"/>
          <w:sz w:val="28"/>
          <w:szCs w:val="28"/>
          <w:lang w:val="en-US" w:eastAsia="zh-CN"/>
        </w:rPr>
        <w:t>0</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万元，与2024年度年初预算数</w:t>
      </w:r>
      <w:r>
        <w:rPr>
          <w:rFonts w:ascii="仿宋_GB2312" w:eastAsia="仿宋_GB2312"/>
          <w:sz w:val="28"/>
          <w:szCs w:val="28"/>
        </w:rPr>
        <w:t>0</w:t>
      </w:r>
      <w:r>
        <w:rPr>
          <w:rFonts w:hint="eastAsia" w:ascii="仿宋_GB2312" w:eastAsia="仿宋_GB2312"/>
          <w:sz w:val="28"/>
          <w:szCs w:val="28"/>
        </w:rPr>
        <w:t>万元一致。</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12.8</w:t>
      </w:r>
      <w:r>
        <w:rPr>
          <w:rFonts w:hint="eastAsia" w:ascii="仿宋_GB2312" w:eastAsia="仿宋_GB2312"/>
          <w:sz w:val="28"/>
          <w:szCs w:val="28"/>
          <w:lang w:val="en-US" w:eastAsia="zh-CN"/>
        </w:rPr>
        <w:t>0</w:t>
      </w:r>
      <w:r>
        <w:rPr>
          <w:rFonts w:hint="eastAsia" w:ascii="仿宋_GB2312" w:eastAsia="仿宋_GB2312"/>
          <w:sz w:val="28"/>
          <w:szCs w:val="28"/>
        </w:rPr>
        <w:t>万元减少</w:t>
      </w:r>
      <w:r>
        <w:rPr>
          <w:rFonts w:ascii="仿宋_GB2312" w:eastAsia="仿宋_GB2312"/>
          <w:sz w:val="28"/>
          <w:szCs w:val="28"/>
        </w:rPr>
        <w:t>12.8</w:t>
      </w:r>
      <w:r>
        <w:rPr>
          <w:rFonts w:hint="eastAsia" w:ascii="仿宋_GB2312" w:eastAsia="仿宋_GB2312"/>
          <w:sz w:val="28"/>
          <w:szCs w:val="28"/>
          <w:lang w:val="en-US" w:eastAsia="zh-CN"/>
        </w:rPr>
        <w:t>0</w:t>
      </w:r>
      <w:r>
        <w:rPr>
          <w:rFonts w:hint="eastAsia" w:ascii="仿宋_GB2312" w:eastAsia="仿宋_GB2312"/>
          <w:sz w:val="28"/>
          <w:szCs w:val="28"/>
        </w:rPr>
        <w:t>万元。主要原因：落实政府过紧日子要求，厉行勤俭节约要求，严格</w:t>
      </w:r>
      <w:r>
        <w:rPr>
          <w:rFonts w:hint="eastAsia" w:ascii="仿宋_GB2312" w:eastAsia="仿宋_GB2312"/>
          <w:sz w:val="28"/>
          <w:szCs w:val="28"/>
          <w:lang w:val="en-US" w:eastAsia="zh-CN"/>
        </w:rPr>
        <w:t>把关</w:t>
      </w:r>
      <w:r>
        <w:rPr>
          <w:rFonts w:hint="eastAsia" w:ascii="仿宋_GB2312" w:eastAsia="仿宋_GB2312"/>
          <w:sz w:val="28"/>
          <w:szCs w:val="28"/>
        </w:rPr>
        <w:t>公务接待手续及流程</w:t>
      </w:r>
      <w:r>
        <w:rPr>
          <w:rFonts w:hint="eastAsia" w:ascii="仿宋_GB2312" w:eastAsia="仿宋_GB2312"/>
          <w:sz w:val="28"/>
          <w:szCs w:val="28"/>
          <w:lang w:eastAsia="zh-CN"/>
        </w:rPr>
        <w:t>，</w:t>
      </w:r>
      <w:r>
        <w:rPr>
          <w:rFonts w:hint="eastAsia" w:ascii="仿宋_GB2312" w:eastAsia="仿宋_GB2312"/>
          <w:sz w:val="28"/>
          <w:szCs w:val="28"/>
          <w:lang w:val="en-US" w:eastAsia="zh-CN"/>
        </w:rPr>
        <w:t>严格控制公务接待费支出</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18.33</w:t>
      </w:r>
      <w:r>
        <w:rPr>
          <w:rFonts w:hint="eastAsia" w:ascii="仿宋_GB2312" w:eastAsia="仿宋_GB2312"/>
          <w:sz w:val="28"/>
          <w:szCs w:val="28"/>
        </w:rPr>
        <w:t>万元，与2024年度年初预算数</w:t>
      </w:r>
      <w:r>
        <w:rPr>
          <w:rFonts w:ascii="仿宋_GB2312" w:eastAsia="仿宋_GB2312"/>
          <w:sz w:val="28"/>
          <w:szCs w:val="28"/>
        </w:rPr>
        <w:t>18.33</w:t>
      </w:r>
      <w:r>
        <w:rPr>
          <w:rFonts w:hint="eastAsia" w:ascii="仿宋_GB2312" w:eastAsia="仿宋_GB2312"/>
          <w:sz w:val="28"/>
          <w:szCs w:val="28"/>
        </w:rPr>
        <w:t>万元基本一致。其中，公务用车购置费202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万元，主要原因：我单位2024年无公务用车购置计划，202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18.33</w:t>
      </w:r>
      <w:r>
        <w:rPr>
          <w:rFonts w:hint="eastAsia" w:ascii="仿宋_GB2312" w:eastAsia="仿宋_GB2312"/>
          <w:sz w:val="28"/>
          <w:szCs w:val="28"/>
        </w:rPr>
        <w:t>万元，主要原因：</w:t>
      </w:r>
      <w:r>
        <w:rPr>
          <w:rFonts w:hint="eastAsia" w:ascii="仿宋_GB2312" w:eastAsia="仿宋_GB2312"/>
          <w:sz w:val="28"/>
          <w:szCs w:val="28"/>
          <w:highlight w:val="none"/>
          <w:lang w:val="en-US" w:eastAsia="zh-CN"/>
        </w:rPr>
        <w:t>为保障我单位“一馆多址”模式下工作同步推进及往返城市副中心公务活动需要，工作人员乘坐公务用车所支出的燃油、维修、保险等费用</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rPr>
        <w:t>年度公务用车保有量</w:t>
      </w:r>
      <w:r>
        <w:rPr>
          <w:rFonts w:ascii="仿宋_GB2312" w:eastAsia="仿宋_GB2312"/>
          <w:sz w:val="28"/>
          <w:szCs w:val="28"/>
        </w:rPr>
        <w:t>10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19400.91</w:t>
      </w:r>
      <w:r>
        <w:rPr>
          <w:rFonts w:hint="eastAsia" w:ascii="仿宋_GB2312" w:eastAsia="仿宋_GB2312"/>
          <w:sz w:val="28"/>
          <w:szCs w:val="28"/>
        </w:rPr>
        <w:t>万元，其中：政府采购货物支出</w:t>
      </w:r>
      <w:r>
        <w:rPr>
          <w:rFonts w:ascii="仿宋_GB2312" w:eastAsia="仿宋_GB2312"/>
          <w:sz w:val="28"/>
          <w:szCs w:val="28"/>
        </w:rPr>
        <w:t>5934.3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13466.62</w:t>
      </w:r>
      <w:r>
        <w:rPr>
          <w:rFonts w:hint="eastAsia" w:ascii="仿宋_GB2312" w:eastAsia="仿宋_GB2312"/>
          <w:sz w:val="28"/>
          <w:szCs w:val="28"/>
        </w:rPr>
        <w:t>万元。授予中小企业合同金额</w:t>
      </w:r>
      <w:r>
        <w:rPr>
          <w:rFonts w:ascii="仿宋_GB2312" w:eastAsia="仿宋_GB2312"/>
          <w:sz w:val="28"/>
          <w:szCs w:val="28"/>
        </w:rPr>
        <w:t>8944.37</w:t>
      </w:r>
      <w:r>
        <w:rPr>
          <w:rFonts w:hint="eastAsia" w:ascii="仿宋_GB2312" w:eastAsia="仿宋_GB2312"/>
          <w:sz w:val="28"/>
          <w:szCs w:val="28"/>
        </w:rPr>
        <w:t>万元，占政府采购支出总额的</w:t>
      </w:r>
      <w:r>
        <w:rPr>
          <w:rFonts w:hint="eastAsia" w:ascii="仿宋_GB2312" w:eastAsia="仿宋_GB2312"/>
          <w:sz w:val="28"/>
          <w:szCs w:val="28"/>
          <w:lang w:eastAsia="zh-CN"/>
        </w:rPr>
        <w:t>46.1</w:t>
      </w:r>
      <w:r>
        <w:rPr>
          <w:rFonts w:hint="eastAsia" w:ascii="仿宋_GB2312" w:eastAsia="仿宋_GB2312"/>
          <w:sz w:val="28"/>
          <w:szCs w:val="28"/>
          <w:lang w:val="en-US" w:eastAsia="zh-CN"/>
        </w:rPr>
        <w:t>0</w:t>
      </w:r>
      <w:r>
        <w:rPr>
          <w:rFonts w:hint="eastAsia" w:ascii="仿宋_GB2312" w:eastAsia="仿宋_GB2312"/>
          <w:sz w:val="28"/>
          <w:szCs w:val="28"/>
        </w:rPr>
        <w:t>%，其中：授予小微企业合同金额</w:t>
      </w:r>
      <w:r>
        <w:rPr>
          <w:rFonts w:ascii="仿宋_GB2312" w:eastAsia="仿宋_GB2312"/>
          <w:sz w:val="28"/>
          <w:szCs w:val="28"/>
        </w:rPr>
        <w:t>5950.98</w:t>
      </w:r>
      <w:r>
        <w:rPr>
          <w:rFonts w:hint="eastAsia" w:ascii="仿宋_GB2312" w:eastAsia="仿宋_GB2312"/>
          <w:sz w:val="28"/>
          <w:szCs w:val="28"/>
        </w:rPr>
        <w:t>万元，占政府采购支出总额的</w:t>
      </w:r>
      <w:r>
        <w:rPr>
          <w:rFonts w:ascii="仿宋_GB2312" w:eastAsia="仿宋_GB2312"/>
          <w:sz w:val="28"/>
          <w:szCs w:val="28"/>
        </w:rPr>
        <w:t>30.67</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12月31日，首都博物馆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本单位无此项经费。</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.教育支出（类）进修及培训（款）培训支出（项）：反映本单位安排的用于培训的支出。。</w:t>
      </w:r>
    </w:p>
    <w:p>
      <w:pPr>
        <w:ind w:firstLine="420" w:firstLineChars="15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.文化旅游体育与传媒支出（类）文物（款）博物馆（项）：反映文物系统及其它部门所属博物馆、纪念馆方面的支出。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.社会保障和就业支出（类）行政事业单位养老支出（款）其他行政事业单位养老支出（项）：反映除上述项目以外用于行政事业单位养老方面的支出。</w:t>
      </w:r>
    </w:p>
    <w:p>
      <w:pPr>
        <w:pStyle w:val="2"/>
        <w:rPr>
          <w:rFonts w:hint="eastAsia" w:ascii="仿宋_GB2312" w:eastAsia="仿宋_GB2312"/>
          <w:sz w:val="28"/>
          <w:szCs w:val="28"/>
        </w:rPr>
      </w:pPr>
    </w:p>
    <w:p>
      <w:pPr>
        <w:rPr>
          <w:rFonts w:hint="eastAsia" w:ascii="仿宋_GB2312" w:eastAsia="仿宋_GB2312"/>
          <w:sz w:val="28"/>
          <w:szCs w:val="28"/>
        </w:rPr>
      </w:pPr>
    </w:p>
    <w:p>
      <w:pPr>
        <w:jc w:val="both"/>
        <w:rPr>
          <w:rFonts w:hint="eastAsia" w:ascii="黑体" w:eastAsia="黑体"/>
          <w:sz w:val="32"/>
          <w:szCs w:val="32"/>
        </w:rPr>
      </w:pPr>
    </w:p>
    <w:p>
      <w:pPr>
        <w:jc w:val="both"/>
        <w:rPr>
          <w:rFonts w:hint="eastAsia" w:ascii="黑体" w:eastAsia="黑体"/>
          <w:sz w:val="32"/>
          <w:szCs w:val="32"/>
        </w:rPr>
      </w:pPr>
    </w:p>
    <w:p>
      <w:pPr>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rPr>
          <w:highlight w:val="yellow"/>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6483"/>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F02381"/>
    <w:rsid w:val="04C3537C"/>
    <w:rsid w:val="05152C17"/>
    <w:rsid w:val="079004AC"/>
    <w:rsid w:val="08FD4D90"/>
    <w:rsid w:val="0AD2460F"/>
    <w:rsid w:val="0BA148CA"/>
    <w:rsid w:val="0C1165C4"/>
    <w:rsid w:val="0D6D544B"/>
    <w:rsid w:val="0DD136FE"/>
    <w:rsid w:val="0E981516"/>
    <w:rsid w:val="0F8E2C57"/>
    <w:rsid w:val="10142719"/>
    <w:rsid w:val="1059665E"/>
    <w:rsid w:val="10AC13BA"/>
    <w:rsid w:val="145A6C1B"/>
    <w:rsid w:val="14B73493"/>
    <w:rsid w:val="167A2FF9"/>
    <w:rsid w:val="18581C69"/>
    <w:rsid w:val="1AEC0734"/>
    <w:rsid w:val="1B3B5C4E"/>
    <w:rsid w:val="1DEF20B0"/>
    <w:rsid w:val="214243FA"/>
    <w:rsid w:val="21AD613C"/>
    <w:rsid w:val="22467189"/>
    <w:rsid w:val="24DF423F"/>
    <w:rsid w:val="257A14F5"/>
    <w:rsid w:val="26E86A78"/>
    <w:rsid w:val="27196C26"/>
    <w:rsid w:val="28112928"/>
    <w:rsid w:val="29EF086F"/>
    <w:rsid w:val="2A1C28D1"/>
    <w:rsid w:val="2EFFE297"/>
    <w:rsid w:val="2F936BF3"/>
    <w:rsid w:val="301437CA"/>
    <w:rsid w:val="349D1F0A"/>
    <w:rsid w:val="34DD0473"/>
    <w:rsid w:val="3893253D"/>
    <w:rsid w:val="3C684897"/>
    <w:rsid w:val="3F9A7996"/>
    <w:rsid w:val="3FF561EC"/>
    <w:rsid w:val="433E495C"/>
    <w:rsid w:val="444C42D6"/>
    <w:rsid w:val="44E65E2F"/>
    <w:rsid w:val="489F2FD7"/>
    <w:rsid w:val="4AC27CB3"/>
    <w:rsid w:val="4BF72BEF"/>
    <w:rsid w:val="4FA90297"/>
    <w:rsid w:val="4FAE36D9"/>
    <w:rsid w:val="4FC41A43"/>
    <w:rsid w:val="50990ABA"/>
    <w:rsid w:val="512A1919"/>
    <w:rsid w:val="51DB3C59"/>
    <w:rsid w:val="550C0952"/>
    <w:rsid w:val="55762E42"/>
    <w:rsid w:val="567B7AEC"/>
    <w:rsid w:val="57A7B272"/>
    <w:rsid w:val="58470068"/>
    <w:rsid w:val="58747CAC"/>
    <w:rsid w:val="59B17A68"/>
    <w:rsid w:val="5A1720F9"/>
    <w:rsid w:val="5B9C37C2"/>
    <w:rsid w:val="5BA7C654"/>
    <w:rsid w:val="5E955869"/>
    <w:rsid w:val="60A54109"/>
    <w:rsid w:val="61452182"/>
    <w:rsid w:val="61D01CDF"/>
    <w:rsid w:val="647032E9"/>
    <w:rsid w:val="64C0607C"/>
    <w:rsid w:val="65756C86"/>
    <w:rsid w:val="673829DA"/>
    <w:rsid w:val="674D385B"/>
    <w:rsid w:val="676F09E1"/>
    <w:rsid w:val="7357290B"/>
    <w:rsid w:val="798524E4"/>
    <w:rsid w:val="7A2A1C70"/>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layout>
                <c:manualLayout>
                  <c:x val="-0.109281659018144"/>
                  <c:y val="0.00631780491284072"/>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delete val="1"/>
            </c:dLbl>
            <c:dLbl>
              <c:idx val="4"/>
              <c:delete val="1"/>
            </c:dLbl>
            <c:dLbl>
              <c:idx val="5"/>
              <c:layout>
                <c:manualLayout>
                  <c:x val="0.0626954180003678"/>
                  <c:y val="-0.01412212717741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50298.78</c:v>
                </c:pt>
                <c:pt idx="1">
                  <c:v>0</c:v>
                </c:pt>
                <c:pt idx="2">
                  <c:v>871.41</c:v>
                </c:pt>
                <c:pt idx="3">
                  <c:v>0</c:v>
                </c:pt>
                <c:pt idx="4">
                  <c:v>0</c:v>
                </c:pt>
                <c:pt idx="5">
                  <c:v>307.25</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3"/>
        <c:delete val="1"/>
      </c:legendEntry>
      <c:legendEntry>
        <c:idx val="4"/>
        <c:delete val="1"/>
      </c:legendEntry>
      <c:layout>
        <c:manualLayout>
          <c:xMode val="edge"/>
          <c:yMode val="edge"/>
          <c:x val="0.740758219285827"/>
          <c:y val="0.290155440414508"/>
        </c:manualLayout>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16592.14</c:v>
                </c:pt>
                <c:pt idx="1">
                  <c:v>32078.76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29</TotalTime>
  <ScaleCrop>false</ScaleCrop>
  <LinksUpToDate>false</LinksUpToDate>
  <CharactersWithSpaces>5779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SDBWG</cp:lastModifiedBy>
  <cp:lastPrinted>2020-08-07T11:39:00Z</cp:lastPrinted>
  <dcterms:modified xsi:type="dcterms:W3CDTF">2025-09-10T02:38:12Z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