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both"/>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pStyle w:val="2"/>
        <w:rPr>
          <w:rFonts w:ascii="黑体" w:eastAsia="黑体"/>
          <w:sz w:val="52"/>
          <w:szCs w:val="52"/>
        </w:rPr>
      </w:pPr>
    </w:p>
    <w:p>
      <w:pPr>
        <w:jc w:val="center"/>
        <w:rPr>
          <w:rFonts w:hint="eastAsia" w:eastAsia="黑体"/>
          <w:lang w:eastAsia="zh-CN"/>
        </w:rPr>
      </w:pPr>
      <w:r>
        <w:rPr>
          <w:rFonts w:hint="eastAsia" w:ascii="黑体" w:eastAsia="黑体"/>
          <w:sz w:val="52"/>
          <w:szCs w:val="52"/>
          <w:lang w:eastAsia="zh-CN"/>
        </w:rPr>
        <w:t>北京市文物工程质量监督站</w:t>
      </w:r>
    </w:p>
    <w:p>
      <w:pPr>
        <w:rPr>
          <w:rFonts w:ascii="黑体" w:eastAsia="黑体"/>
          <w:sz w:val="32"/>
          <w:szCs w:val="32"/>
        </w:rPr>
      </w:pPr>
      <w:r>
        <w:rPr>
          <w:rFonts w:ascii="黑体" w:eastAsia="黑体"/>
          <w:sz w:val="52"/>
          <w:szCs w:val="52"/>
        </w:rPr>
        <w:br w:type="page"/>
      </w: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黑体" w:eastAsia="黑体"/>
          <w:b/>
          <w:sz w:val="28"/>
          <w:szCs w:val="28"/>
          <w:highlight w:val="none"/>
        </w:rPr>
        <w:t>一、单位基本情况</w:t>
      </w:r>
    </w:p>
    <w:p>
      <w:pPr>
        <w:tabs>
          <w:tab w:val="center" w:pos="6979"/>
        </w:tabs>
        <w:spacing w:line="580" w:lineRule="exact"/>
        <w:ind w:firstLine="700" w:firstLineChars="25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北京市文物工程质量监督站为全额拨款参公事业单位，</w:t>
      </w:r>
      <w:r>
        <w:rPr>
          <w:rFonts w:hint="eastAsia" w:ascii="仿宋_GB2312" w:eastAsia="仿宋_GB2312"/>
          <w:sz w:val="28"/>
          <w:szCs w:val="28"/>
          <w:highlight w:val="none"/>
        </w:rPr>
        <w:t>内设监督</w:t>
      </w:r>
      <w:r>
        <w:rPr>
          <w:rFonts w:hint="eastAsia" w:ascii="仿宋_GB2312" w:eastAsia="仿宋_GB2312"/>
          <w:sz w:val="28"/>
          <w:szCs w:val="28"/>
          <w:highlight w:val="none"/>
          <w:lang w:eastAsia="zh-CN"/>
        </w:rPr>
        <w:t>管理</w:t>
      </w:r>
      <w:r>
        <w:rPr>
          <w:rFonts w:hint="eastAsia" w:ascii="仿宋_GB2312" w:eastAsia="仿宋_GB2312"/>
          <w:sz w:val="28"/>
          <w:szCs w:val="28"/>
          <w:highlight w:val="none"/>
        </w:rPr>
        <w:t>室和办公室两个部门</w:t>
      </w:r>
      <w:r>
        <w:rPr>
          <w:rFonts w:hint="eastAsia" w:ascii="仿宋_GB2312" w:eastAsia="仿宋_GB2312"/>
          <w:sz w:val="28"/>
          <w:szCs w:val="28"/>
          <w:highlight w:val="none"/>
          <w:lang w:eastAsia="zh-CN"/>
        </w:rPr>
        <w:t>。</w:t>
      </w:r>
    </w:p>
    <w:p>
      <w:pPr>
        <w:tabs>
          <w:tab w:val="center" w:pos="6979"/>
        </w:tabs>
        <w:spacing w:line="580" w:lineRule="exact"/>
        <w:ind w:firstLine="700" w:firstLineChars="250"/>
        <w:rPr>
          <w:rFonts w:hint="eastAsia" w:ascii="仿宋_GB2312" w:eastAsia="仿宋_GB2312"/>
          <w:sz w:val="28"/>
          <w:szCs w:val="28"/>
          <w:highlight w:val="none"/>
        </w:rPr>
      </w:pPr>
      <w:r>
        <w:rPr>
          <w:rFonts w:hint="eastAsia" w:ascii="仿宋_GB2312" w:eastAsia="仿宋_GB2312"/>
          <w:sz w:val="28"/>
          <w:szCs w:val="28"/>
          <w:highlight w:val="none"/>
          <w:lang w:eastAsia="zh-CN"/>
        </w:rPr>
        <w:t>本</w:t>
      </w:r>
      <w:r>
        <w:rPr>
          <w:rFonts w:hint="eastAsia" w:ascii="仿宋_GB2312" w:eastAsia="仿宋_GB2312"/>
          <w:sz w:val="28"/>
          <w:szCs w:val="28"/>
          <w:highlight w:val="none"/>
        </w:rPr>
        <w:t>单位</w:t>
      </w:r>
      <w:r>
        <w:rPr>
          <w:rFonts w:hint="eastAsia" w:ascii="仿宋_GB2312" w:eastAsia="仿宋_GB2312"/>
          <w:sz w:val="28"/>
          <w:szCs w:val="28"/>
          <w:highlight w:val="none"/>
          <w:lang w:eastAsia="zh-CN"/>
        </w:rPr>
        <w:t>主要职责：一是</w:t>
      </w:r>
      <w:r>
        <w:rPr>
          <w:rFonts w:hint="eastAsia" w:ascii="仿宋_GB2312" w:eastAsia="仿宋_GB2312"/>
          <w:sz w:val="28"/>
          <w:szCs w:val="28"/>
          <w:highlight w:val="none"/>
        </w:rPr>
        <w:t>提供建筑施工质量的监督与检验；二是文物建筑、仿古建筑工程质量监督管理；三是传统建筑材料试验检测；四是古代建筑工程技术培训考核。</w:t>
      </w:r>
    </w:p>
    <w:p>
      <w:pPr>
        <w:tabs>
          <w:tab w:val="center" w:pos="6979"/>
        </w:tabs>
        <w:spacing w:line="580" w:lineRule="exact"/>
        <w:rPr>
          <w:rFonts w:hint="eastAsia" w:ascii="黑体" w:eastAsia="黑体"/>
          <w:b/>
          <w:color w:val="FF0000"/>
          <w:sz w:val="28"/>
          <w:szCs w:val="28"/>
          <w:lang w:eastAsia="zh-CN"/>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1240.74</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63.05</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5.35</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yellow"/>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年度本年收入合计</w:t>
      </w:r>
      <w:r>
        <w:rPr>
          <w:rFonts w:ascii="仿宋_GB2312" w:eastAsia="仿宋_GB2312"/>
          <w:sz w:val="28"/>
          <w:szCs w:val="28"/>
          <w:highlight w:val="none"/>
        </w:rPr>
        <w:t>1200.31</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85.82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7.70</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1200.14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1200.14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0.17</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1126.25</w:t>
      </w:r>
      <w:r>
        <w:rPr>
          <w:rFonts w:hint="eastAsia" w:ascii="仿宋_GB2312" w:eastAsia="仿宋_GB2312"/>
          <w:sz w:val="28"/>
          <w:szCs w:val="28"/>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16.12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1.45</w:t>
      </w:r>
      <w:r>
        <w:rPr>
          <w:rFonts w:hint="eastAsia" w:ascii="仿宋_GB2312" w:eastAsia="仿宋_GB2312"/>
          <w:sz w:val="28"/>
          <w:szCs w:val="28"/>
          <w:highlight w:val="none"/>
        </w:rPr>
        <w:t>%</w:t>
      </w:r>
      <w:r>
        <w:rPr>
          <w:rFonts w:hint="eastAsia" w:ascii="仿宋_GB2312" w:eastAsia="仿宋_GB2312"/>
          <w:sz w:val="28"/>
          <w:szCs w:val="28"/>
        </w:rPr>
        <w:t>，其中：基本支出</w:t>
      </w:r>
      <w:r>
        <w:rPr>
          <w:rFonts w:ascii="仿宋_GB2312" w:eastAsia="仿宋_GB2312"/>
          <w:sz w:val="28"/>
          <w:szCs w:val="28"/>
        </w:rPr>
        <w:t>999.62</w:t>
      </w:r>
      <w:r>
        <w:rPr>
          <w:rFonts w:hint="eastAsia" w:ascii="仿宋_GB2312" w:eastAsia="仿宋_GB2312"/>
          <w:sz w:val="28"/>
          <w:szCs w:val="28"/>
        </w:rPr>
        <w:t>万元，占支出合计的</w:t>
      </w:r>
      <w:r>
        <w:rPr>
          <w:rFonts w:hint="eastAsia" w:ascii="仿宋_GB2312" w:eastAsia="仿宋_GB2312"/>
          <w:sz w:val="28"/>
          <w:szCs w:val="28"/>
          <w:lang w:eastAsia="zh-CN"/>
        </w:rPr>
        <w:t>88.76</w:t>
      </w:r>
      <w:r>
        <w:rPr>
          <w:rFonts w:hint="eastAsia" w:ascii="仿宋_GB2312" w:eastAsia="仿宋_GB2312"/>
          <w:sz w:val="28"/>
          <w:szCs w:val="28"/>
        </w:rPr>
        <w:t>%；项目支出</w:t>
      </w:r>
      <w:r>
        <w:rPr>
          <w:rFonts w:ascii="仿宋_GB2312" w:eastAsia="仿宋_GB2312"/>
          <w:sz w:val="28"/>
          <w:szCs w:val="28"/>
        </w:rPr>
        <w:t>126.63</w:t>
      </w:r>
      <w:r>
        <w:rPr>
          <w:rFonts w:hint="eastAsia" w:ascii="仿宋_GB2312" w:eastAsia="仿宋_GB2312"/>
          <w:sz w:val="28"/>
          <w:szCs w:val="28"/>
        </w:rPr>
        <w:t>万元，占支出合计的</w:t>
      </w:r>
      <w:r>
        <w:rPr>
          <w:rFonts w:hint="eastAsia" w:ascii="仿宋_GB2312" w:eastAsia="仿宋_GB2312"/>
          <w:sz w:val="28"/>
          <w:szCs w:val="28"/>
          <w:lang w:eastAsia="zh-CN"/>
        </w:rPr>
        <w:t>11.24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lang w:eastAsia="zh-CN"/>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yellow"/>
        </w:rPr>
      </w:pPr>
      <w:r>
        <w:rPr>
          <w:rFonts w:hint="eastAsia" w:ascii="仿宋_GB2312" w:eastAsia="仿宋_GB2312"/>
          <w:sz w:val="28"/>
          <w:szCs w:val="28"/>
          <w:highlight w:val="none"/>
          <w:shd w:val="clear"/>
        </w:rPr>
        <w:t>2</w:t>
      </w:r>
      <w:r>
        <w:rPr>
          <w:rFonts w:hint="eastAsia" w:ascii="仿宋_GB2312" w:eastAsia="仿宋_GB2312"/>
          <w:sz w:val="28"/>
          <w:szCs w:val="28"/>
          <w:highlight w:val="none"/>
        </w:rPr>
        <w:t>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年度财政拨款收、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1200.14</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85.87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7.71</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本年度我单位新调入</w:t>
      </w:r>
      <w:r>
        <w:rPr>
          <w:rFonts w:hint="eastAsia" w:ascii="仿宋_GB2312" w:eastAsia="仿宋_GB2312"/>
          <w:sz w:val="28"/>
          <w:szCs w:val="28"/>
          <w:highlight w:val="none"/>
          <w:lang w:val="en-US" w:eastAsia="zh-CN"/>
        </w:rPr>
        <w:t>1人，并伴随在职人员</w:t>
      </w:r>
      <w:r>
        <w:rPr>
          <w:rFonts w:hint="eastAsia" w:ascii="仿宋_GB2312" w:eastAsia="仿宋_GB2312"/>
          <w:sz w:val="28"/>
          <w:szCs w:val="28"/>
          <w:highlight w:val="none"/>
          <w:lang w:eastAsia="zh-CN"/>
        </w:rPr>
        <w:t>晋升</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相应增加工资福利和</w:t>
      </w:r>
      <w:r>
        <w:rPr>
          <w:rFonts w:hint="eastAsia" w:ascii="仿宋_GB2312" w:eastAsia="仿宋_GB2312"/>
          <w:sz w:val="28"/>
          <w:szCs w:val="28"/>
          <w:highlight w:val="none"/>
          <w:lang w:eastAsia="zh-CN"/>
        </w:rPr>
        <w:t>社会</w:t>
      </w:r>
      <w:r>
        <w:rPr>
          <w:rFonts w:hint="eastAsia" w:ascii="仿宋_GB2312" w:eastAsia="仿宋_GB2312"/>
          <w:sz w:val="28"/>
          <w:szCs w:val="28"/>
          <w:highlight w:val="none"/>
        </w:rPr>
        <w:t>保险等</w:t>
      </w:r>
      <w:r>
        <w:rPr>
          <w:rFonts w:hint="eastAsia" w:ascii="仿宋_GB2312" w:eastAsia="仿宋_GB2312"/>
          <w:sz w:val="28"/>
          <w:szCs w:val="28"/>
          <w:highlight w:val="none"/>
          <w:lang w:eastAsia="zh-CN"/>
        </w:rPr>
        <w:t>费用</w:t>
      </w:r>
      <w:r>
        <w:rPr>
          <w:rFonts w:hint="eastAsia" w:ascii="仿宋_GB2312" w:eastAsia="仿宋_GB2312"/>
          <w:sz w:val="28"/>
          <w:szCs w:val="28"/>
          <w:highlight w:val="none"/>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1125.91</w:t>
      </w:r>
      <w:r>
        <w:rPr>
          <w:rFonts w:hint="eastAsia" w:ascii="仿宋_GB2312" w:eastAsia="仿宋_GB2312"/>
          <w:sz w:val="28"/>
          <w:szCs w:val="28"/>
        </w:rPr>
        <w:t>万元，主要用于以下方面（按大类）：文化旅游体育与传媒支出1124.0</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万元，占本年财政拨款支出99.8</w:t>
      </w:r>
      <w:r>
        <w:rPr>
          <w:rFonts w:hint="eastAsia" w:ascii="仿宋_GB2312" w:eastAsia="仿宋_GB2312"/>
          <w:sz w:val="28"/>
          <w:szCs w:val="28"/>
          <w:lang w:val="en-US" w:eastAsia="zh-CN"/>
        </w:rPr>
        <w:t>4</w:t>
      </w:r>
      <w:r>
        <w:rPr>
          <w:rFonts w:hint="eastAsia" w:ascii="仿宋_GB2312" w:eastAsia="仿宋_GB2312"/>
          <w:sz w:val="28"/>
          <w:szCs w:val="28"/>
        </w:rPr>
        <w:t>%；社会保障和就业支出1.85万元，占本年财政拨款支出0.1</w:t>
      </w:r>
      <w:r>
        <w:rPr>
          <w:rFonts w:hint="eastAsia" w:ascii="仿宋_GB2312" w:eastAsia="仿宋_GB2312"/>
          <w:sz w:val="28"/>
          <w:szCs w:val="28"/>
          <w:lang w:val="en-US" w:eastAsia="zh-CN"/>
        </w:rPr>
        <w:t>6</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rPr>
        <w:t>1、“文化旅游体育与传媒支出”（类）</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w:t>
      </w:r>
      <w:r>
        <w:rPr>
          <w:rFonts w:hint="eastAsia" w:ascii="仿宋_GB2312" w:eastAsia="仿宋_GB2312"/>
          <w:sz w:val="28"/>
          <w:szCs w:val="28"/>
          <w:highlight w:val="none"/>
          <w:lang w:val="en-US" w:eastAsia="zh-CN"/>
        </w:rPr>
        <w:t>1158.58</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年度决算1124.0</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lang w:eastAsia="zh-CN"/>
        </w:rPr>
        <w:t>万元，完成年初预算的</w:t>
      </w:r>
      <w:r>
        <w:rPr>
          <w:rFonts w:hint="eastAsia" w:ascii="仿宋_GB2312" w:eastAsia="仿宋_GB2312"/>
          <w:sz w:val="28"/>
          <w:szCs w:val="28"/>
          <w:highlight w:val="none"/>
          <w:lang w:val="en-US" w:eastAsia="zh-CN"/>
        </w:rPr>
        <w:t>97.02</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“文物”（款）</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w:t>
      </w:r>
      <w:r>
        <w:rPr>
          <w:rFonts w:hint="eastAsia" w:ascii="仿宋_GB2312" w:eastAsia="仿宋_GB2312"/>
          <w:sz w:val="28"/>
          <w:szCs w:val="28"/>
          <w:highlight w:val="none"/>
          <w:lang w:val="en-US" w:eastAsia="zh-CN"/>
        </w:rPr>
        <w:t>1158.58</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年度决算1124.0</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lang w:eastAsia="zh-CN"/>
        </w:rPr>
        <w:t>万元，完成年初预算的</w:t>
      </w:r>
      <w:r>
        <w:rPr>
          <w:rFonts w:hint="eastAsia" w:ascii="仿宋_GB2312" w:eastAsia="仿宋_GB2312"/>
          <w:sz w:val="28"/>
          <w:szCs w:val="28"/>
          <w:highlight w:val="none"/>
          <w:lang w:val="en-US" w:eastAsia="zh-CN"/>
        </w:rPr>
        <w:t>97.02</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严格落实过“紧日子”和厉行勤俭节约相关要求，压减非必要支出，节约财政资金</w:t>
      </w:r>
      <w:r>
        <w:rPr>
          <w:rFonts w:hint="eastAsia" w:ascii="仿宋_GB2312" w:eastAsia="仿宋_GB2312"/>
          <w:sz w:val="28"/>
          <w:szCs w:val="28"/>
          <w:highlight w:val="none"/>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、“社会保障和就业支出”（类）</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w:t>
      </w:r>
      <w:r>
        <w:rPr>
          <w:rFonts w:hint="eastAsia" w:ascii="仿宋_GB2312" w:eastAsia="仿宋_GB2312"/>
          <w:sz w:val="28"/>
          <w:szCs w:val="28"/>
          <w:highlight w:val="none"/>
          <w:lang w:val="en-US" w:eastAsia="zh-CN"/>
        </w:rPr>
        <w:t>1.85</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w:t>
      </w:r>
      <w:r>
        <w:rPr>
          <w:rFonts w:hint="eastAsia" w:ascii="仿宋_GB2312" w:eastAsia="仿宋_GB2312"/>
          <w:sz w:val="28"/>
          <w:szCs w:val="28"/>
          <w:highlight w:val="none"/>
          <w:lang w:val="en-US" w:eastAsia="zh-CN"/>
        </w:rPr>
        <w:t>1.85</w:t>
      </w:r>
      <w:r>
        <w:rPr>
          <w:rFonts w:hint="eastAsia" w:ascii="仿宋_GB2312" w:eastAsia="仿宋_GB2312"/>
          <w:sz w:val="28"/>
          <w:szCs w:val="28"/>
          <w:highlight w:val="none"/>
          <w:lang w:eastAsia="zh-CN"/>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eastAsia="zh-CN"/>
        </w:rPr>
      </w:pPr>
      <w:r>
        <w:rPr>
          <w:rFonts w:hint="eastAsia" w:ascii="仿宋_GB2312" w:eastAsia="仿宋_GB2312"/>
          <w:sz w:val="28"/>
          <w:szCs w:val="28"/>
          <w:highlight w:val="none"/>
        </w:rPr>
        <w:t>“行政事业单位养老支出”（款）</w:t>
      </w: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w:t>
      </w:r>
      <w:r>
        <w:rPr>
          <w:rFonts w:hint="eastAsia" w:ascii="仿宋_GB2312" w:eastAsia="仿宋_GB2312"/>
          <w:sz w:val="28"/>
          <w:szCs w:val="28"/>
          <w:highlight w:val="none"/>
          <w:lang w:val="en-US" w:eastAsia="zh-CN"/>
        </w:rPr>
        <w:t>1.85</w:t>
      </w:r>
      <w:r>
        <w:rPr>
          <w:rFonts w:hint="eastAsia" w:ascii="仿宋_GB2312" w:eastAsia="仿宋_GB2312"/>
          <w:sz w:val="28"/>
          <w:szCs w:val="28"/>
          <w:highlight w:val="none"/>
          <w:lang w:eastAsia="zh-CN"/>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w:t>
      </w:r>
      <w:r>
        <w:rPr>
          <w:rFonts w:hint="eastAsia" w:ascii="仿宋_GB2312" w:eastAsia="仿宋_GB2312"/>
          <w:sz w:val="28"/>
          <w:szCs w:val="28"/>
          <w:highlight w:val="none"/>
          <w:lang w:val="en-US" w:eastAsia="zh-CN"/>
        </w:rPr>
        <w:t>1.85</w:t>
      </w:r>
      <w:r>
        <w:rPr>
          <w:rFonts w:hint="eastAsia" w:ascii="仿宋_GB2312" w:eastAsia="仿宋_GB2312"/>
          <w:sz w:val="28"/>
          <w:szCs w:val="28"/>
          <w:highlight w:val="none"/>
          <w:lang w:eastAsia="zh-CN"/>
        </w:rPr>
        <w:t>万元，完成年初预算的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3、“教育支出”（类）2024年度年初预算</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万元，2024年度决算0万元，完成年初预算的0%。其中：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“进修及培训”（款）2024年度年初预算</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万元，2024年度决算0万元，完成年初预算的0%。主要原因：落实市委市政府关于过紧日子的要求，压减一般性支出和非紧急非必需支出。</w:t>
      </w:r>
    </w:p>
    <w:p>
      <w:pPr>
        <w:spacing w:line="580" w:lineRule="exact"/>
        <w:ind w:firstLine="560" w:firstLineChars="200"/>
        <w:rPr>
          <w:rFonts w:hint="eastAsia" w:ascii="仿宋_GB2312" w:eastAsia="黑体"/>
          <w:sz w:val="28"/>
          <w:szCs w:val="28"/>
          <w:highlight w:val="green"/>
          <w:lang w:eastAsia="zh-CN"/>
        </w:rPr>
      </w:pPr>
      <w:r>
        <w:rPr>
          <w:rFonts w:hint="eastAsia" w:ascii="黑体" w:eastAsia="黑体"/>
          <w:b/>
          <w:sz w:val="28"/>
          <w:szCs w:val="28"/>
          <w:highlight w:val="none"/>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pPr>
        <w:spacing w:line="580" w:lineRule="exact"/>
        <w:ind w:firstLine="560" w:firstLineChars="200"/>
        <w:rPr>
          <w:rFonts w:hint="eastAsia" w:ascii="黑体" w:eastAsia="黑体"/>
          <w:b/>
          <w:sz w:val="28"/>
          <w:szCs w:val="28"/>
          <w:highlight w:val="green"/>
          <w:lang w:eastAsia="zh-CN"/>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highlight w:val="green"/>
          <w:lang w:eastAsia="zh-CN"/>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999.62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highlight w:val="green"/>
          <w:lang w:eastAsia="zh-CN"/>
        </w:rPr>
      </w:pPr>
      <w:r>
        <w:rPr>
          <w:rFonts w:hint="eastAsia" w:ascii="黑体" w:eastAsia="黑体"/>
          <w:sz w:val="28"/>
          <w:szCs w:val="28"/>
          <w:highlight w:val="none"/>
        </w:rPr>
        <w:t>一、“三公”经费财政拨款决算情况</w:t>
      </w:r>
    </w:p>
    <w:p>
      <w:pPr>
        <w:spacing w:line="560" w:lineRule="exact"/>
        <w:ind w:firstLine="6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2024年度“三公”经费财政拨款决算数0万元，比202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年度年初预算数0万元增加0万元。其中：</w:t>
      </w:r>
    </w:p>
    <w:p>
      <w:pPr>
        <w:spacing w:line="560" w:lineRule="exact"/>
        <w:ind w:firstLine="6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1.因公出国（境）费用。202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年度决算数0万元，比202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年度年初预算数0万元增加0万元。主要原因：本单位无此项经费。202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年度组织因公出国（境）团组0个、0人次。</w:t>
      </w:r>
    </w:p>
    <w:p>
      <w:pPr>
        <w:spacing w:line="560" w:lineRule="exact"/>
        <w:ind w:firstLine="6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年度决算数0万元，比202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年度年初预算数0万元增加0万元。主要原因：本单位无此项经费。公务接待0批次，公务接待0人次。</w:t>
      </w:r>
    </w:p>
    <w:p>
      <w:pPr>
        <w:spacing w:line="560" w:lineRule="exact"/>
        <w:ind w:firstLine="60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年度决算数0万元，比202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年度年初预算数0万元增加0万元。其中，公务用车购置费202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eastAsia="zh-CN"/>
        </w:rPr>
        <w:t>万元，主要原因：本单位无此项经费，202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年度购置（更新）0辆。公务用车运行维护费202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lang w:eastAsia="zh-CN"/>
        </w:rPr>
        <w:t>万元，主要原因：本单位无公务用车。202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lang w:eastAsia="zh-CN"/>
        </w:rPr>
        <w:t>年度公务用车保有量0辆。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54.19</w:t>
      </w:r>
      <w:r>
        <w:rPr>
          <w:rFonts w:hint="eastAsia" w:ascii="仿宋_GB2312" w:eastAsia="仿宋_GB2312"/>
          <w:sz w:val="28"/>
          <w:szCs w:val="28"/>
        </w:rPr>
        <w:t>万元，比上年减少</w:t>
      </w:r>
      <w:r>
        <w:rPr>
          <w:rFonts w:hint="eastAsia" w:ascii="仿宋_GB2312" w:eastAsia="仿宋_GB2312"/>
          <w:sz w:val="28"/>
          <w:szCs w:val="28"/>
          <w:lang w:val="en-US" w:eastAsia="zh-CN"/>
        </w:rPr>
        <w:t>8.06</w:t>
      </w:r>
      <w:r>
        <w:rPr>
          <w:rFonts w:hint="eastAsia" w:ascii="仿宋_GB2312" w:eastAsia="仿宋_GB2312"/>
          <w:sz w:val="28"/>
          <w:szCs w:val="28"/>
        </w:rPr>
        <w:t>万元，减少原因：</w:t>
      </w:r>
      <w:r>
        <w:rPr>
          <w:rFonts w:hint="eastAsia" w:ascii="仿宋_GB2312" w:eastAsia="仿宋_GB2312"/>
          <w:sz w:val="28"/>
          <w:szCs w:val="28"/>
          <w:lang w:val="en-US" w:eastAsia="zh-CN"/>
        </w:rPr>
        <w:t>2024年</w:t>
      </w:r>
      <w:r>
        <w:rPr>
          <w:rFonts w:ascii="仿宋_GB2312" w:eastAsia="仿宋_GB2312"/>
          <w:sz w:val="28"/>
          <w:szCs w:val="28"/>
        </w:rPr>
        <w:t>配合</w:t>
      </w:r>
      <w:r>
        <w:rPr>
          <w:rFonts w:hint="eastAsia" w:ascii="仿宋_GB2312" w:eastAsia="仿宋_GB2312"/>
          <w:sz w:val="28"/>
          <w:szCs w:val="28"/>
          <w:lang w:eastAsia="zh-CN"/>
        </w:rPr>
        <w:t>市</w:t>
      </w:r>
      <w:r>
        <w:rPr>
          <w:rFonts w:ascii="仿宋_GB2312" w:eastAsia="仿宋_GB2312"/>
          <w:sz w:val="28"/>
          <w:szCs w:val="28"/>
        </w:rPr>
        <w:t>政府部门二批搬迁工作，办公</w:t>
      </w:r>
      <w:r>
        <w:rPr>
          <w:rFonts w:hint="eastAsia" w:ascii="仿宋_GB2312" w:eastAsia="仿宋_GB2312"/>
          <w:sz w:val="28"/>
          <w:szCs w:val="28"/>
          <w:lang w:eastAsia="zh-CN"/>
        </w:rPr>
        <w:t>地点</w:t>
      </w:r>
      <w:r>
        <w:rPr>
          <w:rFonts w:ascii="仿宋_GB2312" w:eastAsia="仿宋_GB2312"/>
          <w:sz w:val="28"/>
          <w:szCs w:val="28"/>
        </w:rPr>
        <w:t>搬至副中心，</w:t>
      </w:r>
      <w:r>
        <w:rPr>
          <w:rFonts w:hint="eastAsia" w:ascii="仿宋_GB2312" w:eastAsia="仿宋_GB2312"/>
          <w:sz w:val="28"/>
          <w:szCs w:val="28"/>
          <w:lang w:eastAsia="zh-CN"/>
        </w:rPr>
        <w:t>水电</w:t>
      </w:r>
      <w:r>
        <w:rPr>
          <w:rFonts w:ascii="仿宋_GB2312" w:eastAsia="仿宋_GB2312"/>
          <w:sz w:val="28"/>
          <w:szCs w:val="28"/>
        </w:rPr>
        <w:t>费统一由机关事务管理局支付，减少本</w:t>
      </w:r>
      <w:r>
        <w:rPr>
          <w:rFonts w:hint="eastAsia" w:ascii="仿宋_GB2312" w:eastAsia="仿宋_GB2312"/>
          <w:sz w:val="28"/>
          <w:szCs w:val="28"/>
          <w:lang w:eastAsia="zh-CN"/>
        </w:rPr>
        <w:t>单位</w:t>
      </w:r>
      <w:r>
        <w:rPr>
          <w:rFonts w:ascii="仿宋_GB2312" w:eastAsia="仿宋_GB2312"/>
          <w:sz w:val="28"/>
          <w:szCs w:val="28"/>
        </w:rPr>
        <w:t>的支出</w:t>
      </w:r>
      <w:r>
        <w:rPr>
          <w:rFonts w:hint="eastAsia" w:ascii="仿宋_GB2312" w:eastAsia="仿宋_GB2312"/>
          <w:sz w:val="28"/>
          <w:szCs w:val="28"/>
        </w:rPr>
        <w:t>。</w:t>
      </w:r>
    </w:p>
    <w:p>
      <w:pPr>
        <w:ind w:left="540"/>
        <w:rPr>
          <w:rFonts w:hint="eastAsia" w:ascii="黑体" w:eastAsia="黑体"/>
          <w:color w:val="FF0000"/>
          <w:sz w:val="28"/>
          <w:szCs w:val="28"/>
          <w:highlight w:val="none"/>
          <w:lang w:eastAsia="zh-CN"/>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1.57</w:t>
      </w:r>
      <w:r>
        <w:rPr>
          <w:rFonts w:hint="eastAsia" w:ascii="仿宋_GB2312" w:eastAsia="仿宋_GB2312"/>
          <w:sz w:val="28"/>
          <w:szCs w:val="28"/>
        </w:rPr>
        <w:t>万元，其中：政府采购货物支出</w:t>
      </w:r>
      <w:r>
        <w:rPr>
          <w:rFonts w:ascii="仿宋_GB2312" w:eastAsia="仿宋_GB2312"/>
          <w:sz w:val="28"/>
          <w:szCs w:val="28"/>
        </w:rPr>
        <w:t>1.57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1.57</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1.57</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12月31日，北京市文物工程质量监督站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highlight w:val="green"/>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7.教育支出（类）进修及培训（款）培训支出（项）：反映本单位安排的用于培训的支出。 </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8.文化旅游体育与传媒支出（类）文物（款）行政运行（项）：反映行政单位（包括实行公务员管理的事业单位）的基本支出。 </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9.文化旅游体育与传媒支出（类）文物（款）其他文物支出（项）：反映其他用于文物方面的支出。</w:t>
      </w:r>
    </w:p>
    <w:p>
      <w:pPr>
        <w:ind w:firstLine="560" w:firstLineChars="200"/>
        <w:rPr>
          <w:rFonts w:hint="eastAsia"/>
        </w:rPr>
      </w:pPr>
      <w:r>
        <w:rPr>
          <w:rFonts w:hint="eastAsia" w:ascii="仿宋_GB2312" w:eastAsia="仿宋_GB2312"/>
          <w:sz w:val="28"/>
          <w:szCs w:val="28"/>
          <w:lang w:val="en-US" w:eastAsia="zh-CN"/>
        </w:rPr>
        <w:t>10.社会保障和就业支出（类）行政事业单位养老支出（款）事业单位离退休（项）：反映事业单位开支的离退休经费。</w:t>
      </w:r>
    </w:p>
    <w:p>
      <w:pPr>
        <w:pStyle w:val="2"/>
        <w:rPr>
          <w:rFonts w:hint="eastAsia" w:eastAsia="黑体"/>
          <w:lang w:eastAsia="zh-CN"/>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bookmarkStart w:id="0" w:name="_GoBack"/>
      <w:bookmarkEnd w:id="0"/>
      <w:r>
        <w:rPr>
          <w:rFonts w:hint="eastAsia" w:ascii="黑体" w:eastAsia="黑体"/>
          <w:sz w:val="28"/>
          <w:szCs w:val="28"/>
        </w:rPr>
        <w:t>项目</w:t>
      </w:r>
      <w:r>
        <w:rPr>
          <w:rFonts w:ascii="黑体" w:eastAsia="黑体"/>
          <w:sz w:val="28"/>
          <w:szCs w:val="28"/>
        </w:rPr>
        <w:t>支出绩效自评表</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详见附件。</w:t>
      </w:r>
    </w:p>
    <w:p>
      <w:pPr>
        <w:ind w:firstLine="420" w:firstLineChars="200"/>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微软雅黑"/>
    <w:panose1 w:val="02010609060101010101"/>
    <w:charset w:val="86"/>
    <w:family w:val="modern"/>
    <w:pitch w:val="default"/>
    <w:sig w:usb0="00000000" w:usb1="00000000"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6F6511E"/>
    <w:rsid w:val="079004AC"/>
    <w:rsid w:val="0BA148CA"/>
    <w:rsid w:val="0C1165C4"/>
    <w:rsid w:val="0D6D544B"/>
    <w:rsid w:val="0DD136FE"/>
    <w:rsid w:val="0F8E2C57"/>
    <w:rsid w:val="1059665E"/>
    <w:rsid w:val="10AC13BA"/>
    <w:rsid w:val="145A6C1B"/>
    <w:rsid w:val="14B73493"/>
    <w:rsid w:val="167A2FF9"/>
    <w:rsid w:val="18581C69"/>
    <w:rsid w:val="1AEC0734"/>
    <w:rsid w:val="1DE767CB"/>
    <w:rsid w:val="1DEF20B0"/>
    <w:rsid w:val="214243FA"/>
    <w:rsid w:val="21AD613C"/>
    <w:rsid w:val="22467189"/>
    <w:rsid w:val="257A14F5"/>
    <w:rsid w:val="27196C26"/>
    <w:rsid w:val="29EF086F"/>
    <w:rsid w:val="2EFFE297"/>
    <w:rsid w:val="2FEDAF8E"/>
    <w:rsid w:val="301437CA"/>
    <w:rsid w:val="349D1F0A"/>
    <w:rsid w:val="34DD0473"/>
    <w:rsid w:val="3C684897"/>
    <w:rsid w:val="3DFB985C"/>
    <w:rsid w:val="3FDE74C6"/>
    <w:rsid w:val="3FFF445A"/>
    <w:rsid w:val="433E495C"/>
    <w:rsid w:val="489F2FD7"/>
    <w:rsid w:val="4AC27CB3"/>
    <w:rsid w:val="4BF72BEF"/>
    <w:rsid w:val="4FA90297"/>
    <w:rsid w:val="4FC41A43"/>
    <w:rsid w:val="4FFAAA00"/>
    <w:rsid w:val="51DB3C59"/>
    <w:rsid w:val="52BB5511"/>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377808A"/>
    <w:rsid w:val="798524E4"/>
    <w:rsid w:val="7A7F1C49"/>
    <w:rsid w:val="7B5B7AE6"/>
    <w:rsid w:val="7B7B6628"/>
    <w:rsid w:val="7BA7071E"/>
    <w:rsid w:val="7BDF6DA8"/>
    <w:rsid w:val="7C7EDC1A"/>
    <w:rsid w:val="7CCED98D"/>
    <w:rsid w:val="7D08410F"/>
    <w:rsid w:val="7D3C649A"/>
    <w:rsid w:val="7DB96DED"/>
    <w:rsid w:val="7DD3AD81"/>
    <w:rsid w:val="7F7FE70F"/>
    <w:rsid w:val="7FFF772F"/>
    <w:rsid w:val="95F35EF6"/>
    <w:rsid w:val="9BFFD860"/>
    <w:rsid w:val="AC5F73DE"/>
    <w:rsid w:val="B5DDD2C8"/>
    <w:rsid w:val="B9DFABD9"/>
    <w:rsid w:val="BC0D83FC"/>
    <w:rsid w:val="BF3BDEFB"/>
    <w:rsid w:val="BFDDC9F5"/>
    <w:rsid w:val="BFDE2B79"/>
    <w:rsid w:val="C75F6086"/>
    <w:rsid w:val="C7F7ED2D"/>
    <w:rsid w:val="CFAF854E"/>
    <w:rsid w:val="D8D7928E"/>
    <w:rsid w:val="D8FE3136"/>
    <w:rsid w:val="DDDE60B7"/>
    <w:rsid w:val="DE9F6A22"/>
    <w:rsid w:val="DEB463A2"/>
    <w:rsid w:val="DF4FCE6A"/>
    <w:rsid w:val="E4FED278"/>
    <w:rsid w:val="E7EF52DA"/>
    <w:rsid w:val="E9D7BDEB"/>
    <w:rsid w:val="EABFBCC8"/>
    <w:rsid w:val="EC2F069A"/>
    <w:rsid w:val="EDAA365C"/>
    <w:rsid w:val="EDADFC12"/>
    <w:rsid w:val="F1FF667A"/>
    <w:rsid w:val="F2FD229B"/>
    <w:rsid w:val="F6DB0467"/>
    <w:rsid w:val="F73E4D2D"/>
    <w:rsid w:val="F7F709E9"/>
    <w:rsid w:val="F7FF3690"/>
    <w:rsid w:val="F9BD3900"/>
    <w:rsid w:val="FADF4D13"/>
    <w:rsid w:val="FB4BD37B"/>
    <w:rsid w:val="FBDFD362"/>
    <w:rsid w:val="FC8B9876"/>
    <w:rsid w:val="FD6FDB48"/>
    <w:rsid w:val="FDFE97AF"/>
    <w:rsid w:val="FEDFF218"/>
    <w:rsid w:val="FEDFFFFF"/>
    <w:rsid w:val="FF8ED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Lbl>
              <c:idx val="1"/>
              <c:delete val="true"/>
            </c:dLbl>
            <c:dLbl>
              <c:idx val="2"/>
              <c:delete val="true"/>
            </c:dLbl>
            <c:dLbl>
              <c:idx val="3"/>
              <c:delete val="true"/>
            </c:dLbl>
            <c:dLbl>
              <c:idx val="4"/>
              <c:delete val="true"/>
            </c:dLbl>
            <c:dLbl>
              <c:idx val="5"/>
              <c:layout>
                <c:manualLayout>
                  <c:x val="-0.0353940537989618"/>
                  <c:y val="0.00327242977911099"/>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1200.14</c:v>
                </c:pt>
                <c:pt idx="1">
                  <c:v>0</c:v>
                </c:pt>
                <c:pt idx="2">
                  <c:v>0</c:v>
                </c:pt>
                <c:pt idx="3">
                  <c:v>0</c:v>
                </c:pt>
                <c:pt idx="4">
                  <c:v>0</c:v>
                </c:pt>
                <c:pt idx="5">
                  <c:v>0.17</c:v>
                </c:pt>
              </c:numCache>
            </c:numRef>
          </c:val>
        </c:ser>
        <c:dLbls>
          <c:showLegendKey val="false"/>
          <c:showVal val="true"/>
          <c:showCatName val="false"/>
          <c:showSerName val="false"/>
          <c:showPercent val="false"/>
          <c:showBubbleSize val="false"/>
          <c:showLeaderLines val="true"/>
        </c:dLbls>
        <c:firstSliceAng val="0"/>
      </c:pieChart>
    </c:plotArea>
    <c:legend>
      <c:legendPos val="r"/>
      <c:legendEntry>
        <c:idx val="1"/>
        <c:delete val="true"/>
      </c:legendEntry>
      <c:legendEntry>
        <c:idx val="2"/>
        <c:delete val="true"/>
      </c:legendEntry>
      <c:legendEntry>
        <c:idx val="3"/>
        <c:delete val="true"/>
      </c:legendEntry>
      <c:legendEntry>
        <c:idx val="4"/>
        <c:delete val="true"/>
      </c:legendEntry>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delete val="true"/>
            </c:dLbl>
            <c:dLbl>
              <c:idx val="3"/>
              <c:delete val="true"/>
            </c:dLbl>
            <c:dLbl>
              <c:idx val="4"/>
              <c:delete val="true"/>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999.62</c:v>
                </c:pt>
                <c:pt idx="1">
                  <c:v>126.63</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delete val="true"/>
      </c:legendEntry>
      <c:legendEntry>
        <c:idx val="3"/>
        <c:delete val="true"/>
      </c:legendEntry>
      <c:legendEntry>
        <c:idx val="4"/>
        <c:delete val="true"/>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7</TotalTime>
  <ScaleCrop>false</ScaleCrop>
  <LinksUpToDate>false</LinksUpToDate>
  <CharactersWithSpaces>5779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2017-07-14T15:16:00Z</dcterms:created>
  <dc:creator>常程</dc:creator>
  <cp:lastModifiedBy>ceshi</cp:lastModifiedBy>
  <cp:lastPrinted>2020-08-10T11:39:00Z</cp:lastPrinted>
  <dcterms:modified xsi:type="dcterms:W3CDTF">2025-09-10T10:25:53Z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