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E0BF2">
      <w:pPr>
        <w:keepNext w:val="0"/>
        <w:keepLines w:val="0"/>
        <w:pageBreakBefore w:val="0"/>
        <w:widowControl w:val="0"/>
        <w:shd w:val="clear"/>
        <w:kinsoku/>
        <w:wordWrap/>
        <w:overflowPunct/>
        <w:topLinePunct w:val="0"/>
        <w:autoSpaceDE/>
        <w:autoSpaceDN/>
        <w:bidi w:val="0"/>
        <w:adjustRightInd w:val="0"/>
        <w:snapToGrid w:val="0"/>
        <w:spacing w:line="560" w:lineRule="exact"/>
        <w:jc w:val="center"/>
        <w:textAlignment w:val="auto"/>
        <w:outlineLvl w:val="0"/>
        <w:rPr>
          <w:rFonts w:hint="eastAsia" w:ascii="方正小标宋_GBK" w:hAnsi="方正小标宋_GBK" w:eastAsia="方正小标宋_GBK" w:cs="方正小标宋_GBK"/>
          <w:sz w:val="44"/>
          <w:szCs w:val="44"/>
          <w:highlight w:val="none"/>
        </w:rPr>
      </w:pPr>
      <w:bookmarkStart w:id="0" w:name="_Toc15498"/>
      <w:bookmarkStart w:id="1" w:name="_Toc21028"/>
      <w:r>
        <w:rPr>
          <w:rFonts w:hint="eastAsia" w:ascii="方正小标宋_GBK" w:hAnsi="方正小标宋_GBK" w:eastAsia="方正小标宋_GBK" w:cs="方正小标宋_GBK"/>
          <w:sz w:val="44"/>
          <w:szCs w:val="44"/>
          <w:highlight w:val="none"/>
        </w:rPr>
        <w:t>北京市文物局</w:t>
      </w:r>
      <w:bookmarkEnd w:id="0"/>
      <w:bookmarkEnd w:id="1"/>
      <w:bookmarkStart w:id="2" w:name="_Toc15349"/>
      <w:bookmarkStart w:id="3" w:name="_Toc19532"/>
      <w:r>
        <w:rPr>
          <w:rFonts w:hint="eastAsia" w:ascii="方正小标宋_GBK" w:hAnsi="方正小标宋_GBK" w:eastAsia="方正小标宋_GBK" w:cs="方正小标宋_GBK"/>
          <w:sz w:val="44"/>
          <w:szCs w:val="44"/>
          <w:highlight w:val="none"/>
        </w:rPr>
        <w:t>2024年部门整体</w:t>
      </w:r>
    </w:p>
    <w:p w14:paraId="42AD2C77">
      <w:pPr>
        <w:keepNext w:val="0"/>
        <w:keepLines w:val="0"/>
        <w:pageBreakBefore w:val="0"/>
        <w:widowControl w:val="0"/>
        <w:shd w:val="clear"/>
        <w:kinsoku/>
        <w:wordWrap/>
        <w:overflowPunct/>
        <w:topLinePunct w:val="0"/>
        <w:autoSpaceDE/>
        <w:autoSpaceDN/>
        <w:bidi w:val="0"/>
        <w:adjustRightInd w:val="0"/>
        <w:snapToGrid w:val="0"/>
        <w:spacing w:line="560" w:lineRule="exact"/>
        <w:jc w:val="center"/>
        <w:textAlignment w:val="auto"/>
        <w:outlineLvl w:val="0"/>
        <w:rPr>
          <w:rFonts w:hint="eastAsia" w:ascii="方正小标宋_GBK" w:hAnsi="方正小标宋_GBK" w:eastAsia="方正小标宋_GBK" w:cs="方正小标宋_GBK"/>
          <w:sz w:val="44"/>
          <w:szCs w:val="44"/>
          <w:highlight w:val="none"/>
        </w:rPr>
      </w:pPr>
      <w:r>
        <w:rPr>
          <w:rFonts w:hint="eastAsia" w:ascii="方正小标宋_GBK" w:hAnsi="方正小标宋_GBK" w:eastAsia="方正小标宋_GBK" w:cs="方正小标宋_GBK"/>
          <w:sz w:val="44"/>
          <w:szCs w:val="44"/>
          <w:highlight w:val="none"/>
        </w:rPr>
        <w:t>绩效</w:t>
      </w:r>
      <w:r>
        <w:rPr>
          <w:rFonts w:hint="eastAsia" w:ascii="方正小标宋_GBK" w:hAnsi="方正小标宋_GBK" w:eastAsia="方正小标宋_GBK" w:cs="方正小标宋_GBK"/>
          <w:sz w:val="44"/>
          <w:szCs w:val="44"/>
          <w:highlight w:val="none"/>
          <w:lang w:eastAsia="zh-CN"/>
        </w:rPr>
        <w:t>评价</w:t>
      </w:r>
      <w:r>
        <w:rPr>
          <w:rFonts w:hint="eastAsia" w:ascii="方正小标宋_GBK" w:hAnsi="方正小标宋_GBK" w:eastAsia="方正小标宋_GBK" w:cs="方正小标宋_GBK"/>
          <w:sz w:val="44"/>
          <w:szCs w:val="44"/>
          <w:highlight w:val="none"/>
        </w:rPr>
        <w:t>报告</w:t>
      </w:r>
      <w:bookmarkEnd w:id="2"/>
      <w:bookmarkEnd w:id="3"/>
    </w:p>
    <w:p w14:paraId="7E245BC8">
      <w:pPr>
        <w:shd w:val="clear"/>
        <w:spacing w:line="560" w:lineRule="exact"/>
        <w:jc w:val="center"/>
        <w:rPr>
          <w:rFonts w:hint="default" w:ascii="Times New Roman" w:hAnsi="Times New Roman" w:eastAsia="仿宋_GB2312" w:cs="Times New Roman"/>
          <w:sz w:val="32"/>
          <w:szCs w:val="32"/>
          <w:highlight w:val="none"/>
        </w:rPr>
      </w:pPr>
    </w:p>
    <w:p w14:paraId="50243A5A">
      <w:pPr>
        <w:shd w:val="clear"/>
        <w:adjustRightInd w:val="0"/>
        <w:snapToGrid w:val="0"/>
        <w:spacing w:line="360" w:lineRule="auto"/>
        <w:ind w:firstLine="640" w:firstLineChars="200"/>
        <w:outlineLvl w:val="0"/>
        <w:rPr>
          <w:rFonts w:hint="default" w:ascii="Times New Roman" w:hAnsi="Times New Roman" w:eastAsia="黑体" w:cs="Times New Roman"/>
          <w:color w:val="000000"/>
          <w:kern w:val="0"/>
          <w:sz w:val="32"/>
          <w:szCs w:val="32"/>
          <w:highlight w:val="none"/>
        </w:rPr>
      </w:pPr>
      <w:bookmarkStart w:id="4" w:name="_Toc27501"/>
      <w:bookmarkStart w:id="5" w:name="_Toc14862"/>
      <w:bookmarkStart w:id="6" w:name="_Toc30114"/>
      <w:r>
        <w:rPr>
          <w:rFonts w:hint="default" w:ascii="Times New Roman" w:hAnsi="Times New Roman" w:eastAsia="黑体" w:cs="Times New Roman"/>
          <w:color w:val="000000"/>
          <w:kern w:val="0"/>
          <w:sz w:val="32"/>
          <w:szCs w:val="32"/>
          <w:highlight w:val="none"/>
        </w:rPr>
        <w:t>一、部门概况</w:t>
      </w:r>
      <w:bookmarkEnd w:id="4"/>
      <w:bookmarkEnd w:id="5"/>
      <w:bookmarkEnd w:id="6"/>
    </w:p>
    <w:p w14:paraId="4EAFEA8F">
      <w:pPr>
        <w:shd w:val="clear"/>
        <w:adjustRightInd w:val="0"/>
        <w:snapToGrid w:val="0"/>
        <w:spacing w:line="360" w:lineRule="auto"/>
        <w:ind w:firstLine="640" w:firstLineChars="200"/>
        <w:outlineLvl w:val="1"/>
        <w:rPr>
          <w:rFonts w:hint="default" w:ascii="Times New Roman" w:hAnsi="Times New Roman" w:eastAsia="楷体_GB2312" w:cs="Times New Roman"/>
          <w:sz w:val="32"/>
          <w:szCs w:val="32"/>
          <w:highlight w:val="none"/>
        </w:rPr>
      </w:pPr>
      <w:bookmarkStart w:id="7" w:name="_Toc20036"/>
      <w:bookmarkStart w:id="8" w:name="_Toc26123"/>
      <w:bookmarkStart w:id="9" w:name="_Toc29747"/>
      <w:r>
        <w:rPr>
          <w:rFonts w:hint="default" w:ascii="Times New Roman" w:hAnsi="Times New Roman" w:eastAsia="楷体_GB2312" w:cs="Times New Roman"/>
          <w:sz w:val="32"/>
          <w:szCs w:val="32"/>
          <w:highlight w:val="none"/>
        </w:rPr>
        <w:t>（一）机构设置及职责工作任务情况</w:t>
      </w:r>
      <w:bookmarkEnd w:id="7"/>
      <w:bookmarkEnd w:id="8"/>
      <w:bookmarkEnd w:id="9"/>
    </w:p>
    <w:p w14:paraId="22551E59">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1.部门职能</w:t>
      </w:r>
    </w:p>
    <w:p w14:paraId="21194F56">
      <w:pPr>
        <w:shd w:val="clear"/>
        <w:adjustRightInd w:val="0"/>
        <w:snapToGrid w:val="0"/>
        <w:spacing w:line="360" w:lineRule="auto"/>
        <w:ind w:firstLine="640" w:firstLineChars="200"/>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北京市文物局是负责本市文物和博物馆事业管理工作的市政府直属机构。上级业务主管部门为国家文物局。主要职责如下：</w:t>
      </w:r>
    </w:p>
    <w:p w14:paraId="7266FB9D">
      <w:pPr>
        <w:shd w:val="clear"/>
        <w:adjustRightInd w:val="0"/>
        <w:snapToGrid w:val="0"/>
        <w:spacing w:line="360" w:lineRule="auto"/>
        <w:ind w:firstLine="640" w:firstLineChars="200"/>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14:paraId="39DC6814">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（2）负责本市世界文化遗产和文物保护单位管理工作，会同有关部门负责历史文化名城（镇、村）保护和监督管理工作，研究提出文物保护单位保护范围和建设控制地带的意见。</w:t>
      </w:r>
    </w:p>
    <w:p w14:paraId="790E653D">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（3）指导本市博物馆的业务工作，组织博物馆间的交流与协作，负责博物馆馆藏文物鉴定、登记、借用、调拨和交换的管理工作。</w:t>
      </w:r>
    </w:p>
    <w:p w14:paraId="67404B14">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（4）负责本市的考古调查、勘探和发掘工作；会同有关部门研究提出保护地下文物埋藏区的意见；负责出土文物的调用。</w:t>
      </w:r>
    </w:p>
    <w:p w14:paraId="27245B56">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（5）负责管理本市民间收藏文物及其流通活动；培育、引导和扶持文物和博物馆领域相关产业健康发展。</w:t>
      </w:r>
    </w:p>
    <w:p w14:paraId="6F1B151C">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（6）负责本市文物和博物馆有关审核、审批事务及相关资质资格认定的管理工作。</w:t>
      </w:r>
    </w:p>
    <w:p w14:paraId="5896A7B6">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（7）依法负责本市文物行政执法工作，组织查处有关文物的违法违章案件；承担文物和博物馆安全工作的管理责任。</w:t>
      </w:r>
    </w:p>
    <w:p w14:paraId="092D2BFF">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（8）负责本市文物保护的宣传工作；组织与国（境）内外的文物交流和展示活动。</w:t>
      </w:r>
    </w:p>
    <w:p w14:paraId="31C9D1C6">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（9）规划、指导本市文物和博物馆领域专业人员培训</w:t>
      </w:r>
      <w:r>
        <w:rPr>
          <w:rFonts w:hint="default" w:ascii="Times New Roman" w:hAnsi="Times New Roman" w:eastAsia="仿宋_GB2312" w:cs="Times New Roman"/>
          <w:sz w:val="32"/>
          <w:szCs w:val="32"/>
          <w:highlight w:val="none"/>
        </w:rPr>
        <w:t>工作；组织文物和博物馆领域科学研究及交流、文物科学保</w:t>
      </w:r>
      <w:r>
        <w:rPr>
          <w:rFonts w:hint="default" w:ascii="CESI仿宋-GB2312" w:hAnsi="CESI仿宋-GB2312" w:eastAsia="CESI仿宋-GB2312" w:cs="CESI仿宋-GB2312"/>
          <w:color w:val="000000"/>
          <w:kern w:val="2"/>
          <w:sz w:val="32"/>
          <w:szCs w:val="32"/>
          <w:highlight w:val="none"/>
          <w:lang w:val="en-US" w:eastAsia="zh-CN" w:bidi="ar-SA"/>
        </w:rPr>
        <w:t>护工作。</w:t>
      </w:r>
    </w:p>
    <w:p w14:paraId="01E50599">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（10）承办市政府交办的其他事项。</w:t>
      </w:r>
    </w:p>
    <w:p w14:paraId="2CB8F7D6">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2.机构设置情况</w:t>
      </w:r>
    </w:p>
    <w:p w14:paraId="67042DE4">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市文物局部门包括行政单位1个，全额拨款事业单位15个，临时工作机构1个。</w:t>
      </w:r>
    </w:p>
    <w:p w14:paraId="13B324FA">
      <w:pPr>
        <w:shd w:val="clear"/>
        <w:adjustRightInd w:val="0"/>
        <w:snapToGrid w:val="0"/>
        <w:spacing w:line="360" w:lineRule="auto"/>
        <w:ind w:firstLine="640" w:firstLineChars="200"/>
        <w:outlineLvl w:val="1"/>
        <w:rPr>
          <w:rFonts w:hint="default" w:ascii="Times New Roman" w:hAnsi="Times New Roman" w:eastAsia="楷体_GB2312" w:cs="Times New Roman"/>
          <w:sz w:val="32"/>
          <w:szCs w:val="32"/>
          <w:highlight w:val="none"/>
        </w:rPr>
      </w:pPr>
      <w:bookmarkStart w:id="10" w:name="_Toc27406"/>
      <w:bookmarkStart w:id="11" w:name="_Toc9340"/>
      <w:bookmarkStart w:id="12" w:name="_Toc11043"/>
      <w:r>
        <w:rPr>
          <w:rFonts w:hint="default" w:ascii="Times New Roman" w:hAnsi="Times New Roman" w:eastAsia="楷体_GB2312" w:cs="Times New Roman"/>
          <w:sz w:val="32"/>
          <w:szCs w:val="32"/>
          <w:highlight w:val="none"/>
        </w:rPr>
        <w:t>（二）部门整体绩效目标设立情况</w:t>
      </w:r>
      <w:bookmarkEnd w:id="10"/>
      <w:bookmarkEnd w:id="11"/>
      <w:bookmarkEnd w:id="12"/>
    </w:p>
    <w:p w14:paraId="5EA7158B">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北京市文物局在编报部门预算时，精心构建部门整体绩效目标体系。一方面，深入梳理法定职能与中长期规划，紧密结合年度任务安排，以“战略-职能-任务”三维框架为指引，精准匹配职能方向与关键任务，明确项目整体目标。另一方面，在目标内容设定上，从产出、效益以及满意度等方面，明确年度工作任务量、成果质量标准、完成时间节点及成本预算，确保工作成果可量化、可衡量。同时，在指标体系搭建中，采用定量与定性结合手段，既选取产出数量、质量合格率等可量化指标，又设定社会效益等定性指标，使目标与部门职责、年度任务深度契合，为预算编制提供坚实科学依据，有力保障资金高效使用与工作高质量推进。</w:t>
      </w:r>
    </w:p>
    <w:p w14:paraId="53651189">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按照北京市文物局部门职能，依据相关规划要求结合年度工作计划安排，坚决贯彻落实习近平总书记关于文物工作重要论述精神和党中央、市委、市政府各项工作决策部署，认真贯彻落实新时代文物工作</w:t>
      </w:r>
      <w:r>
        <w:rPr>
          <w:rFonts w:hint="eastAsia" w:ascii="CESI仿宋-GB2312" w:hAnsi="CESI仿宋-GB2312" w:eastAsia="CESI仿宋-GB2312" w:cs="CESI仿宋-GB2312"/>
          <w:color w:val="000000"/>
          <w:kern w:val="2"/>
          <w:sz w:val="32"/>
          <w:szCs w:val="32"/>
          <w:highlight w:val="none"/>
          <w:lang w:val="en-US" w:eastAsia="zh-CN" w:bidi="ar-SA"/>
        </w:rPr>
        <w:t>要求</w:t>
      </w:r>
      <w:r>
        <w:rPr>
          <w:rFonts w:hint="default" w:ascii="CESI仿宋-GB2312" w:hAnsi="CESI仿宋-GB2312" w:eastAsia="CESI仿宋-GB2312" w:cs="CESI仿宋-GB2312"/>
          <w:color w:val="000000"/>
          <w:kern w:val="2"/>
          <w:sz w:val="32"/>
          <w:szCs w:val="32"/>
          <w:highlight w:val="none"/>
          <w:lang w:val="en-US" w:eastAsia="zh-CN" w:bidi="ar-SA"/>
        </w:rPr>
        <w:t>，扎实深入做好各项工作，推动新时代文物事业高质量发展。2024年重点任务包括：加快中轴线申遗成功步伐；推进博物馆之城建设；统筹“两园三带”建设；抓好革命文物保护利用；加强文物保护管理；促进文物市场繁荣有序发展；加强文博事业发展保障；确保文物安全工作，切实守护好传承好历史文脉。</w:t>
      </w:r>
    </w:p>
    <w:p w14:paraId="46FA371A">
      <w:pPr>
        <w:shd w:val="clear"/>
        <w:adjustRightInd w:val="0"/>
        <w:snapToGrid w:val="0"/>
        <w:spacing w:line="360" w:lineRule="auto"/>
        <w:ind w:firstLine="640" w:firstLineChars="200"/>
        <w:outlineLvl w:val="0"/>
        <w:rPr>
          <w:rFonts w:hint="default" w:ascii="Times New Roman" w:hAnsi="Times New Roman" w:eastAsia="黑体" w:cs="Times New Roman"/>
          <w:color w:val="000000"/>
          <w:kern w:val="0"/>
          <w:sz w:val="32"/>
          <w:szCs w:val="32"/>
          <w:highlight w:val="none"/>
        </w:rPr>
      </w:pPr>
      <w:bookmarkStart w:id="13" w:name="_Toc19515"/>
      <w:bookmarkStart w:id="14" w:name="_Toc31586"/>
      <w:bookmarkStart w:id="15" w:name="_Toc14733"/>
      <w:r>
        <w:rPr>
          <w:rFonts w:hint="default" w:ascii="Times New Roman" w:hAnsi="Times New Roman" w:eastAsia="黑体" w:cs="Times New Roman"/>
          <w:color w:val="000000"/>
          <w:kern w:val="0"/>
          <w:sz w:val="32"/>
          <w:szCs w:val="32"/>
          <w:highlight w:val="none"/>
        </w:rPr>
        <w:t>二、当年预算执行情况</w:t>
      </w:r>
      <w:bookmarkEnd w:id="13"/>
      <w:bookmarkEnd w:id="14"/>
      <w:bookmarkEnd w:id="15"/>
    </w:p>
    <w:p w14:paraId="79013511">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2024年全年预算数237,567.82万元，其中，基本支出预算数56,931.57万元，项目支出预算数180,636.25万元。全年支出147,124.81万元，其中，基本支出48,954.37万元，项目支出98,170.44万元。预算执行率为62%。</w:t>
      </w:r>
    </w:p>
    <w:p w14:paraId="6FEE0107">
      <w:pPr>
        <w:shd w:val="clear"/>
        <w:adjustRightInd w:val="0"/>
        <w:snapToGrid w:val="0"/>
        <w:spacing w:line="360" w:lineRule="auto"/>
        <w:ind w:firstLine="640" w:firstLineChars="200"/>
        <w:outlineLvl w:val="0"/>
        <w:rPr>
          <w:rFonts w:hint="default" w:ascii="Times New Roman" w:hAnsi="Times New Roman" w:eastAsia="黑体" w:cs="Times New Roman"/>
          <w:color w:val="000000"/>
          <w:kern w:val="0"/>
          <w:sz w:val="32"/>
          <w:szCs w:val="32"/>
          <w:highlight w:val="none"/>
        </w:rPr>
      </w:pPr>
      <w:bookmarkStart w:id="16" w:name="_Toc21677"/>
      <w:bookmarkStart w:id="17" w:name="_Toc29620"/>
      <w:bookmarkStart w:id="18" w:name="_Toc10795"/>
      <w:r>
        <w:rPr>
          <w:rFonts w:hint="default" w:ascii="Times New Roman" w:hAnsi="Times New Roman" w:eastAsia="黑体" w:cs="Times New Roman"/>
          <w:color w:val="000000"/>
          <w:kern w:val="0"/>
          <w:sz w:val="32"/>
          <w:szCs w:val="32"/>
          <w:highlight w:val="none"/>
        </w:rPr>
        <w:t>三、整体绩效目标实现情况</w:t>
      </w:r>
      <w:bookmarkEnd w:id="16"/>
      <w:bookmarkEnd w:id="17"/>
      <w:bookmarkEnd w:id="18"/>
    </w:p>
    <w:p w14:paraId="2537704A">
      <w:pPr>
        <w:shd w:val="clear"/>
        <w:adjustRightInd w:val="0"/>
        <w:snapToGrid w:val="0"/>
        <w:spacing w:line="360" w:lineRule="auto"/>
        <w:ind w:firstLine="640" w:firstLineChars="200"/>
        <w:outlineLvl w:val="1"/>
        <w:rPr>
          <w:rFonts w:hint="default" w:ascii="Times New Roman" w:hAnsi="Times New Roman" w:eastAsia="楷体_GB2312" w:cs="Times New Roman"/>
          <w:sz w:val="32"/>
          <w:szCs w:val="32"/>
          <w:highlight w:val="none"/>
        </w:rPr>
      </w:pPr>
      <w:bookmarkStart w:id="19" w:name="_Toc21474"/>
      <w:bookmarkStart w:id="20" w:name="_Toc20452"/>
      <w:bookmarkStart w:id="21" w:name="_Toc14496"/>
      <w:r>
        <w:rPr>
          <w:rFonts w:hint="default" w:ascii="Times New Roman" w:hAnsi="Times New Roman" w:eastAsia="楷体_GB2312" w:cs="Times New Roman"/>
          <w:sz w:val="32"/>
          <w:szCs w:val="32"/>
          <w:highlight w:val="none"/>
        </w:rPr>
        <w:t>（一）产出完成情况分析</w:t>
      </w:r>
      <w:bookmarkEnd w:id="19"/>
      <w:bookmarkEnd w:id="20"/>
      <w:bookmarkEnd w:id="21"/>
    </w:p>
    <w:p w14:paraId="4A0DA920">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北京市文物局围绕“一轴一城、两园三带、一区一中心”等全国文化中心建设重点任务，一张蓝图干到底，扎实推动全年各项工作，推进首都文博事业高质量发展。</w:t>
      </w:r>
    </w:p>
    <w:p w14:paraId="162771D5">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1.产出数量</w:t>
      </w:r>
    </w:p>
    <w:p w14:paraId="39A79EA7">
      <w:pPr>
        <w:pStyle w:val="8"/>
        <w:shd w:val="clear"/>
        <w:adjustRightInd w:val="0"/>
        <w:snapToGrid w:val="0"/>
        <w:spacing w:line="360" w:lineRule="auto"/>
        <w:ind w:firstLine="640" w:firstLineChars="200"/>
        <w:outlineLvl w:val="2"/>
        <w:rPr>
          <w:rFonts w:hint="default" w:ascii="Times New Roman" w:hAnsi="Times New Roman" w:eastAsia="仿宋_GB2312" w:cs="Times New Roman"/>
          <w:color w:val="000000"/>
          <w:kern w:val="0"/>
          <w:sz w:val="32"/>
          <w:szCs w:val="32"/>
          <w:highlight w:val="none"/>
        </w:rPr>
      </w:pPr>
      <w:r>
        <w:rPr>
          <w:rFonts w:hint="default" w:ascii="CESI仿宋-GB2312" w:hAnsi="CESI仿宋-GB2312" w:eastAsia="CESI仿宋-GB2312" w:cs="CESI仿宋-GB2312"/>
          <w:color w:val="000000"/>
          <w:kern w:val="2"/>
          <w:sz w:val="32"/>
          <w:szCs w:val="32"/>
          <w:highlight w:val="none"/>
          <w:lang w:val="en-US" w:eastAsia="zh-CN" w:bidi="ar-SA"/>
        </w:rPr>
        <w:t>2024年，市文物局紧密围绕首都文化建设的核心任务，以高度的责任感和使命感，基本完成各项既定的数量指标。</w:t>
      </w:r>
      <w:r>
        <w:rPr>
          <w:rFonts w:hint="default" w:ascii="Times New Roman" w:hAnsi="Times New Roman" w:eastAsia="仿宋_GB2312" w:cs="Times New Roman"/>
          <w:color w:val="000000"/>
          <w:kern w:val="0"/>
          <w:sz w:val="32"/>
          <w:szCs w:val="32"/>
          <w:highlight w:val="none"/>
        </w:rPr>
        <w:t>具体产出数量指标的完成情况如下：</w:t>
      </w:r>
    </w:p>
    <w:tbl>
      <w:tblPr>
        <w:tblStyle w:val="15"/>
        <w:tblW w:w="5067" w:type="pct"/>
        <w:tblInd w:w="0" w:type="dxa"/>
        <w:tblLayout w:type="fixed"/>
        <w:tblCellMar>
          <w:top w:w="0" w:type="dxa"/>
          <w:left w:w="108" w:type="dxa"/>
          <w:bottom w:w="0" w:type="dxa"/>
          <w:right w:w="108" w:type="dxa"/>
        </w:tblCellMar>
      </w:tblPr>
      <w:tblGrid>
        <w:gridCol w:w="2256"/>
        <w:gridCol w:w="1074"/>
        <w:gridCol w:w="2425"/>
        <w:gridCol w:w="1392"/>
        <w:gridCol w:w="1489"/>
      </w:tblGrid>
      <w:tr w14:paraId="68D2F5CA">
        <w:tblPrEx>
          <w:tblCellMar>
            <w:top w:w="0" w:type="dxa"/>
            <w:left w:w="108" w:type="dxa"/>
            <w:bottom w:w="0" w:type="dxa"/>
            <w:right w:w="108" w:type="dxa"/>
          </w:tblCellMar>
        </w:tblPrEx>
        <w:trPr>
          <w:trHeight w:val="366" w:hRule="atLeast"/>
          <w:tblHeader/>
        </w:trPr>
        <w:tc>
          <w:tcPr>
            <w:tcW w:w="1305"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6740AD92">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活动</w:t>
            </w:r>
          </w:p>
        </w:tc>
        <w:tc>
          <w:tcPr>
            <w:tcW w:w="622"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73A9E0A3">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二级指标</w:t>
            </w:r>
          </w:p>
        </w:tc>
        <w:tc>
          <w:tcPr>
            <w:tcW w:w="1403"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295B71B6">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绩效指标</w:t>
            </w:r>
          </w:p>
        </w:tc>
        <w:tc>
          <w:tcPr>
            <w:tcW w:w="806"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398D1654">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指标值</w:t>
            </w:r>
          </w:p>
        </w:tc>
        <w:tc>
          <w:tcPr>
            <w:tcW w:w="861"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104D8D5E">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完成值</w:t>
            </w:r>
          </w:p>
        </w:tc>
      </w:tr>
      <w:tr w14:paraId="2CC5D52A">
        <w:tblPrEx>
          <w:tblCellMar>
            <w:top w:w="0" w:type="dxa"/>
            <w:left w:w="108" w:type="dxa"/>
            <w:bottom w:w="0" w:type="dxa"/>
            <w:right w:w="108" w:type="dxa"/>
          </w:tblCellMar>
        </w:tblPrEx>
        <w:trPr>
          <w:trHeight w:val="107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E86D0">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博物馆行业管理</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16437">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FFF16">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持续开展类博物馆培育工作,完成类博物馆培育及挂牌开放数量</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31FFB">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≥26座</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3B9CB">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29座</w:t>
            </w:r>
          </w:p>
        </w:tc>
      </w:tr>
      <w:tr w14:paraId="1C5B9CC5">
        <w:tblPrEx>
          <w:tblCellMar>
            <w:top w:w="0" w:type="dxa"/>
            <w:left w:w="108" w:type="dxa"/>
            <w:bottom w:w="0" w:type="dxa"/>
            <w:right w:w="108" w:type="dxa"/>
          </w:tblCellMar>
        </w:tblPrEx>
        <w:trPr>
          <w:trHeight w:val="143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1DB48">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博物馆行业管理</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C344C">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EC391">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扶持社会力量兴办博物馆,完成社会力量兴办博物馆的项目征集/扶持资金发放等工作</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AE495">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≥20座</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3E890">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29座</w:t>
            </w:r>
          </w:p>
        </w:tc>
      </w:tr>
      <w:tr w14:paraId="54BB29A3">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58861">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财务基础工作</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F77D1">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2C3DF">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审计总数量</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D231F">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≥50项</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77991">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58项</w:t>
            </w:r>
          </w:p>
        </w:tc>
      </w:tr>
      <w:tr w14:paraId="4D26676A">
        <w:tblPrEx>
          <w:tblCellMar>
            <w:top w:w="0" w:type="dxa"/>
            <w:left w:w="108" w:type="dxa"/>
            <w:bottom w:w="0" w:type="dxa"/>
            <w:right w:w="108" w:type="dxa"/>
          </w:tblCellMar>
        </w:tblPrEx>
        <w:trPr>
          <w:trHeight w:val="107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3AA0D">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档案、信息化管理及日常运维保障、机关党建</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6F96A">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C84C0">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增量档案数字化及完成档案统计年报报送工作完成率</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D870E">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44843">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10686800">
        <w:tblPrEx>
          <w:tblCellMar>
            <w:top w:w="0" w:type="dxa"/>
            <w:left w:w="108" w:type="dxa"/>
            <w:bottom w:w="0" w:type="dxa"/>
            <w:right w:w="108" w:type="dxa"/>
          </w:tblCellMar>
        </w:tblPrEx>
        <w:trPr>
          <w:trHeight w:val="107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C9981">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法律咨询及普法宣传</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94465">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9CE23">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合同审核、决策咨询、行政诉讼以及普法等工作完成率</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1E169">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ECCA8">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70542CA3">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5BDB1">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法律咨询及普法宣传</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41A19">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C28C7">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完成立法后评估报告</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7EFA8">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＝1篇</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C7ADE">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＝1篇</w:t>
            </w:r>
          </w:p>
        </w:tc>
      </w:tr>
      <w:tr w14:paraId="6FDCD145">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B8F57">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法律咨询及普法宣传</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19DE0">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C5102">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印制法律法规汇编</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E2559">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＝2000本</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9DAFC">
            <w:pPr>
              <w:shd w:val="clear"/>
              <w:jc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＝2000本</w:t>
            </w:r>
          </w:p>
        </w:tc>
      </w:tr>
      <w:tr w14:paraId="0DCB7181">
        <w:tblPrEx>
          <w:tblCellMar>
            <w:top w:w="0" w:type="dxa"/>
            <w:left w:w="108" w:type="dxa"/>
            <w:bottom w:w="0" w:type="dxa"/>
            <w:right w:w="108" w:type="dxa"/>
          </w:tblCellMar>
        </w:tblPrEx>
        <w:trPr>
          <w:trHeight w:val="107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78623">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考古调查、勘探和发掘</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E437D">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E4CC6">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依法组织完成考古调查、勘探、发掘等工作完成率</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2DBF8">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DEBCD">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24606ECC">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A1A51">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文物安全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96510">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CBC19">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电气安全检测单位数量</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0A075">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≥16家</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8403C">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16家</w:t>
            </w:r>
          </w:p>
        </w:tc>
      </w:tr>
      <w:tr w14:paraId="76290008">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3B78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文物安全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9A856">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C4482">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平台数量</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DBB7F">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＝1个（套）</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A5A66">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1个（套）</w:t>
            </w:r>
          </w:p>
        </w:tc>
      </w:tr>
      <w:tr w14:paraId="2F3ACFFE">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2F657">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文物安全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CAEB1">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442FF">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送审稿数量</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E2BF5">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＝1套</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184F3">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＝1套</w:t>
            </w:r>
          </w:p>
        </w:tc>
      </w:tr>
      <w:tr w14:paraId="1F883A5B">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3441E">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文物安全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72F7F">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1E8D8">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文本数量</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F7A18">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＝1套</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4ADEA">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＝1套</w:t>
            </w:r>
          </w:p>
        </w:tc>
      </w:tr>
      <w:tr w14:paraId="35DA308B">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3285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文物安全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F8A0D">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29960">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消防检测单位数量</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FEE7F">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≥16家</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45AC3">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16家</w:t>
            </w:r>
          </w:p>
        </w:tc>
      </w:tr>
      <w:tr w14:paraId="096058BD">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48286">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文物安全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11A95">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F24D3">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消防设施安全评估单位数量</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3F385">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≥16家</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34F2D">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16家</w:t>
            </w:r>
          </w:p>
        </w:tc>
      </w:tr>
      <w:tr w14:paraId="4864E723">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68D4B">
            <w:pPr>
              <w:widowControl/>
              <w:shd w:val="clear"/>
              <w:jc w:val="left"/>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lang w:bidi="ar"/>
              </w:rPr>
              <w:t>文物安全防护工程设计方案审核</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723CD">
            <w:pPr>
              <w:widowControl/>
              <w:shd w:val="clear"/>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4B6AC">
            <w:pPr>
              <w:widowControl/>
              <w:shd w:val="clear"/>
              <w:jc w:val="center"/>
              <w:textAlignment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lang w:bidi="ar"/>
              </w:rPr>
              <w:t>评审事项数量</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DFE1D">
            <w:pPr>
              <w:widowControl/>
              <w:shd w:val="clear"/>
              <w:jc w:val="center"/>
              <w:textAlignment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lang w:bidi="ar"/>
              </w:rPr>
              <w:t>≥200项</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5DB98">
            <w:pPr>
              <w:widowControl/>
              <w:shd w:val="clear"/>
              <w:jc w:val="center"/>
              <w:textAlignment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lang w:bidi="ar"/>
              </w:rPr>
              <w:t>165项</w:t>
            </w:r>
          </w:p>
        </w:tc>
      </w:tr>
      <w:tr w14:paraId="531C95AD">
        <w:tblPrEx>
          <w:tblCellMar>
            <w:top w:w="0" w:type="dxa"/>
            <w:left w:w="108" w:type="dxa"/>
            <w:bottom w:w="0" w:type="dxa"/>
            <w:right w:w="108" w:type="dxa"/>
          </w:tblCellMar>
        </w:tblPrEx>
        <w:trPr>
          <w:trHeight w:val="107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99CC3">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文物保护和课题研究</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D6266">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AE28F">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北京市不可移动文物革命文物白皮书覆盖不可移动革命文物数量</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2C90A">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≥8处</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73D96">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12个</w:t>
            </w:r>
          </w:p>
        </w:tc>
      </w:tr>
      <w:tr w14:paraId="3FB0ED74">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B513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文物保护和课题研究</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7ACA7">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AFF74">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完成文博工作发展需要的专项课题</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8D907">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≥5篇</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6A9E6">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5篇</w:t>
            </w:r>
          </w:p>
        </w:tc>
      </w:tr>
      <w:tr w14:paraId="7F951256">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B541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文物保护和课题研究</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773DC">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41838">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重点革命文物基础数据建立与展示利用工作</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65DF6">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≥3处</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87FC">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4处</w:t>
            </w:r>
          </w:p>
        </w:tc>
      </w:tr>
      <w:tr w14:paraId="79233A82">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62EA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文物拍卖监拍及文创产业发展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7CA02">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16509">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颁发北京地区博物馆数字版权登记证书</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2C293">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≥200个（台、套、件、辆）</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5092D">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1043份</w:t>
            </w:r>
          </w:p>
        </w:tc>
      </w:tr>
      <w:tr w14:paraId="5DDD838A">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5614A">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文物拍卖监拍及文创产业发展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5C85E">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B0AFE">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北京地区文物拍卖会审核批复</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73694">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≥500场</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77F00">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6154场次</w:t>
            </w:r>
          </w:p>
        </w:tc>
      </w:tr>
      <w:tr w14:paraId="4727A2BC">
        <w:tblPrEx>
          <w:tblCellMar>
            <w:top w:w="0" w:type="dxa"/>
            <w:left w:w="108" w:type="dxa"/>
            <w:bottom w:w="0" w:type="dxa"/>
            <w:right w:w="108" w:type="dxa"/>
          </w:tblCellMar>
        </w:tblPrEx>
        <w:trPr>
          <w:trHeight w:val="107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E23E4">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文物拍卖监拍及文创产业发展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8D0CC">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BD2A9">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采集文物藏品素材</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456B0">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≥200个（台、套、件、辆）</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43F36">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1000件</w:t>
            </w:r>
          </w:p>
        </w:tc>
      </w:tr>
      <w:tr w14:paraId="434A077B">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294B3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文物拍卖监拍及文创产业发展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5F636">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E9E8C">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发布北京指数监测数据</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BFF04">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＝12期</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07831">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12期</w:t>
            </w:r>
          </w:p>
        </w:tc>
      </w:tr>
      <w:tr w14:paraId="75E77441">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63ED2">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文物拍卖监拍及文创产业发展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608C3">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6A926">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文物拍卖市场监测报告</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AE48A">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＝5期</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C2343">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＝5期</w:t>
            </w:r>
          </w:p>
        </w:tc>
      </w:tr>
      <w:tr w14:paraId="3153FAC8">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93CA2">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文物拍卖监拍及文创产业发展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EB759">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7C4BC">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线上文物拍卖会监拍比例</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4293E">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≥50%</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C7289">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≥50%</w:t>
            </w:r>
          </w:p>
        </w:tc>
      </w:tr>
      <w:tr w14:paraId="10165FA6">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385CD">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文物拍卖监拍及文创产业发展</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9CD26">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771C8">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线下文物拍卖会</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0972A">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5E0CE">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w:t>
            </w:r>
          </w:p>
        </w:tc>
      </w:tr>
      <w:tr w14:paraId="35986BEA">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00669">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宣传活动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BC401">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6AFE8">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出版《北京文博》</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2EE55">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＝1期</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7B95A">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＝1期</w:t>
            </w:r>
          </w:p>
        </w:tc>
      </w:tr>
      <w:tr w14:paraId="12B991DC">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2896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宣传活动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AAC40">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6B741">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举办“一城三带”专题活动</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E467B">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≥5场次</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EFFA3">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val="en-US" w:eastAsia="zh-CN" w:bidi="ar"/>
              </w:rPr>
              <w:t>5</w:t>
            </w:r>
            <w:r>
              <w:rPr>
                <w:rFonts w:hint="eastAsia" w:asciiTheme="minorEastAsia" w:hAnsiTheme="minorEastAsia" w:eastAsiaTheme="minorEastAsia" w:cstheme="minorEastAsia"/>
                <w:color w:val="000000"/>
                <w:kern w:val="0"/>
                <w:szCs w:val="21"/>
                <w:highlight w:val="none"/>
                <w:lang w:bidi="ar"/>
              </w:rPr>
              <w:t>场</w:t>
            </w:r>
          </w:p>
        </w:tc>
      </w:tr>
      <w:tr w14:paraId="10796FA1">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56DBD">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宣传活动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8DB9E">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D7DF2">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媒体转载次数</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EFF8F">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≥30次</w:t>
            </w:r>
          </w:p>
        </w:tc>
        <w:tc>
          <w:tcPr>
            <w:tcW w:w="8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A235B">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相关报道38.9万余篇</w:t>
            </w:r>
          </w:p>
        </w:tc>
      </w:tr>
      <w:tr w14:paraId="7D1076B0">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DD119">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宣传活动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341D8">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E6D2C">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印制《北京文物年鉴</w:t>
            </w:r>
            <w:r>
              <w:rPr>
                <w:rFonts w:hint="eastAsia" w:asciiTheme="minorEastAsia" w:hAnsiTheme="minorEastAsia" w:eastAsiaTheme="minorEastAsia" w:cstheme="minorEastAsia"/>
                <w:color w:val="000000"/>
                <w:kern w:val="0"/>
                <w:szCs w:val="21"/>
                <w:highlight w:val="none"/>
                <w:lang w:bidi="ar"/>
              </w:rPr>
              <w:t>2024</w:t>
            </w:r>
            <w:r>
              <w:rPr>
                <w:rFonts w:hint="default" w:ascii="Times New Roman" w:hAnsi="Times New Roman" w:cs="Times New Roman"/>
                <w:color w:val="000000"/>
                <w:kern w:val="0"/>
                <w:szCs w:val="21"/>
                <w:highlight w:val="none"/>
                <w:lang w:bidi="ar"/>
              </w:rPr>
              <w:t>》</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0BB98">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＝1套</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D0CF9">
            <w:pPr>
              <w:shd w:val="clear"/>
              <w:jc w:val="center"/>
              <w:rPr>
                <w:rFonts w:hint="eastAsia" w:asciiTheme="minorEastAsia" w:hAnsiTheme="minorEastAsia" w:eastAsiaTheme="minorEastAsia" w:cstheme="minorEastAsia"/>
                <w:color w:val="000000"/>
                <w:szCs w:val="21"/>
                <w:highlight w:val="none"/>
              </w:rPr>
            </w:pPr>
            <w:r>
              <w:rPr>
                <w:rStyle w:val="24"/>
                <w:rFonts w:hint="eastAsia" w:asciiTheme="minorEastAsia" w:hAnsiTheme="minorEastAsia" w:eastAsiaTheme="minorEastAsia" w:cstheme="minorEastAsia"/>
                <w:sz w:val="21"/>
                <w:szCs w:val="21"/>
                <w:highlight w:val="none"/>
                <w:lang w:bidi="ar"/>
              </w:rPr>
              <w:t>1</w:t>
            </w:r>
            <w:r>
              <w:rPr>
                <w:rStyle w:val="23"/>
                <w:rFonts w:hint="eastAsia" w:asciiTheme="minorEastAsia" w:hAnsiTheme="minorEastAsia" w:eastAsiaTheme="minorEastAsia" w:cstheme="minorEastAsia"/>
                <w:sz w:val="21"/>
                <w:szCs w:val="21"/>
                <w:highlight w:val="none"/>
                <w:lang w:bidi="ar"/>
              </w:rPr>
              <w:t>套</w:t>
            </w:r>
          </w:p>
        </w:tc>
      </w:tr>
      <w:tr w14:paraId="1F70316D">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96726">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宣传活动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B453E">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020D9">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制作新媒体产品</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D4F0C">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＝15个</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7AA40">
            <w:pPr>
              <w:shd w:val="clear"/>
              <w:jc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36个</w:t>
            </w:r>
          </w:p>
        </w:tc>
      </w:tr>
      <w:tr w14:paraId="788864AF">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36970">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宣传活动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CFE18">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849F6">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制作宣传视频</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A4594">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＝120分钟</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8612C">
            <w:pPr>
              <w:shd w:val="clear"/>
              <w:jc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szCs w:val="21"/>
                <w:highlight w:val="none"/>
              </w:rPr>
              <w:t>138分钟</w:t>
            </w:r>
          </w:p>
        </w:tc>
      </w:tr>
      <w:tr w14:paraId="3C6E9B53">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DFA85">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宣传活动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0820D">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CEF0F">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组织文化及自然遗产日专题活动</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07089">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＝1场</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A3DC5">
            <w:pPr>
              <w:shd w:val="clear"/>
              <w:jc w:val="center"/>
              <w:rPr>
                <w:rFonts w:hint="eastAsia" w:asciiTheme="minorEastAsia" w:hAnsiTheme="minorEastAsia" w:eastAsiaTheme="minorEastAsia" w:cstheme="minorEastAsia"/>
                <w:color w:val="000000"/>
                <w:szCs w:val="21"/>
                <w:highlight w:val="none"/>
              </w:rPr>
            </w:pPr>
            <w:r>
              <w:rPr>
                <w:rStyle w:val="24"/>
                <w:rFonts w:hint="eastAsia" w:asciiTheme="minorEastAsia" w:hAnsiTheme="minorEastAsia" w:eastAsiaTheme="minorEastAsia" w:cstheme="minorEastAsia"/>
                <w:sz w:val="21"/>
                <w:szCs w:val="21"/>
                <w:highlight w:val="none"/>
                <w:lang w:bidi="ar"/>
              </w:rPr>
              <w:t>1</w:t>
            </w:r>
            <w:r>
              <w:rPr>
                <w:rStyle w:val="23"/>
                <w:rFonts w:hint="eastAsia" w:asciiTheme="minorEastAsia" w:hAnsiTheme="minorEastAsia" w:eastAsiaTheme="minorEastAsia" w:cstheme="minorEastAsia"/>
                <w:sz w:val="21"/>
                <w:szCs w:val="21"/>
                <w:highlight w:val="none"/>
                <w:lang w:bidi="ar"/>
              </w:rPr>
              <w:t>场</w:t>
            </w:r>
          </w:p>
        </w:tc>
      </w:tr>
      <w:tr w14:paraId="0FE92997">
        <w:tblPrEx>
          <w:tblCellMar>
            <w:top w:w="0" w:type="dxa"/>
            <w:left w:w="108" w:type="dxa"/>
            <w:bottom w:w="0" w:type="dxa"/>
            <w:right w:w="108" w:type="dxa"/>
          </w:tblCellMar>
        </w:tblPrEx>
        <w:trPr>
          <w:trHeight w:val="721"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6704E">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展览及活动</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CB2C8">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6A654">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举办第二届北京博物馆活动月</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A8130">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＝1场次</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3A240">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1场</w:t>
            </w:r>
          </w:p>
        </w:tc>
      </w:tr>
      <w:tr w14:paraId="2D319F02">
        <w:tblPrEx>
          <w:tblCellMar>
            <w:top w:w="0" w:type="dxa"/>
            <w:left w:w="108" w:type="dxa"/>
            <w:bottom w:w="0" w:type="dxa"/>
            <w:right w:w="108" w:type="dxa"/>
          </w:tblCellMar>
        </w:tblPrEx>
        <w:trPr>
          <w:trHeight w:val="366"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129C9">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专项业务培训</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6685F">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4FC92">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计划开展培训班次</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04163">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≥5项</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91C26">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8个</w:t>
            </w:r>
          </w:p>
        </w:tc>
      </w:tr>
      <w:tr w14:paraId="1A5C52DB">
        <w:tblPrEx>
          <w:tblCellMar>
            <w:top w:w="0" w:type="dxa"/>
            <w:left w:w="108" w:type="dxa"/>
            <w:bottom w:w="0" w:type="dxa"/>
            <w:right w:w="108" w:type="dxa"/>
          </w:tblCellMar>
        </w:tblPrEx>
        <w:trPr>
          <w:trHeight w:val="377" w:hRule="atLeast"/>
        </w:trPr>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38969">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专项业务培训</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973C7">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数量指标</w:t>
            </w:r>
          </w:p>
        </w:tc>
        <w:tc>
          <w:tcPr>
            <w:tcW w:w="1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ABC80">
            <w:pPr>
              <w:widowControl/>
              <w:shd w:val="clear"/>
              <w:jc w:val="center"/>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培训人员数量</w:t>
            </w: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F71FE">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≥300人</w:t>
            </w:r>
          </w:p>
        </w:tc>
        <w:tc>
          <w:tcPr>
            <w:tcW w:w="8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581DA">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915人次</w:t>
            </w:r>
          </w:p>
        </w:tc>
      </w:tr>
    </w:tbl>
    <w:p w14:paraId="31993C3B">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2.产出质量</w:t>
      </w:r>
    </w:p>
    <w:p w14:paraId="517E3F17">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紧密围绕既定目标，扎实推进各项工作，产出质量方面成效显著。经对部门整体产出目标完成情况进行深入分析，各项指标均达成预期目标，部门整体产出质量保持良好态势，为部门职能的履行与业务的发展提供了有力支撑。具体产出质量指标的完成情况如下：</w:t>
      </w:r>
    </w:p>
    <w:tbl>
      <w:tblPr>
        <w:tblStyle w:val="15"/>
        <w:tblW w:w="5032" w:type="pct"/>
        <w:tblInd w:w="0" w:type="dxa"/>
        <w:tblLayout w:type="autofit"/>
        <w:tblCellMar>
          <w:top w:w="0" w:type="dxa"/>
          <w:left w:w="108" w:type="dxa"/>
          <w:bottom w:w="0" w:type="dxa"/>
          <w:right w:w="108" w:type="dxa"/>
        </w:tblCellMar>
      </w:tblPr>
      <w:tblGrid>
        <w:gridCol w:w="2250"/>
        <w:gridCol w:w="1074"/>
        <w:gridCol w:w="2375"/>
        <w:gridCol w:w="925"/>
        <w:gridCol w:w="1953"/>
      </w:tblGrid>
      <w:tr w14:paraId="31EA1114">
        <w:tblPrEx>
          <w:tblCellMar>
            <w:top w:w="0" w:type="dxa"/>
            <w:left w:w="108" w:type="dxa"/>
            <w:bottom w:w="0" w:type="dxa"/>
            <w:right w:w="108" w:type="dxa"/>
          </w:tblCellMar>
        </w:tblPrEx>
        <w:trPr>
          <w:trHeight w:val="482" w:hRule="atLeast"/>
          <w:tblHeader/>
        </w:trPr>
        <w:tc>
          <w:tcPr>
            <w:tcW w:w="1311"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4BE62241">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活动</w:t>
            </w:r>
          </w:p>
        </w:tc>
        <w:tc>
          <w:tcPr>
            <w:tcW w:w="626"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799DD86F">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二级指标</w:t>
            </w:r>
          </w:p>
        </w:tc>
        <w:tc>
          <w:tcPr>
            <w:tcW w:w="1384"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658047D5">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绩效指标</w:t>
            </w:r>
          </w:p>
        </w:tc>
        <w:tc>
          <w:tcPr>
            <w:tcW w:w="539"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20DEABA7">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指标值</w:t>
            </w:r>
          </w:p>
        </w:tc>
        <w:tc>
          <w:tcPr>
            <w:tcW w:w="1137"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4DBEFFED">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完成值</w:t>
            </w:r>
          </w:p>
        </w:tc>
      </w:tr>
      <w:tr w14:paraId="60E08AF5">
        <w:tblPrEx>
          <w:tblCellMar>
            <w:top w:w="0" w:type="dxa"/>
            <w:left w:w="108" w:type="dxa"/>
            <w:bottom w:w="0" w:type="dxa"/>
            <w:right w:w="108" w:type="dxa"/>
          </w:tblCellMar>
        </w:tblPrEx>
        <w:trPr>
          <w:trHeight w:val="2137" w:hRule="atLeast"/>
        </w:trPr>
        <w:tc>
          <w:tcPr>
            <w:tcW w:w="1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DFD42">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藏品管理及研究利用</w:t>
            </w: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1A9C8">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质量指标</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7AC38">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通过"北京市博物馆大数据平台"对全市博物馆藏品出借/修复等行为进行监管</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8A751">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好</w:t>
            </w:r>
          </w:p>
        </w:tc>
        <w:tc>
          <w:tcPr>
            <w:tcW w:w="11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A7790">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“北京市博物馆大数据平台”监测系统已全面部署并持续稳定运行，实现了对北京市博物馆大数据平台的24小时不间断监控。</w:t>
            </w:r>
          </w:p>
        </w:tc>
      </w:tr>
      <w:tr w14:paraId="66EFF997">
        <w:tblPrEx>
          <w:tblCellMar>
            <w:top w:w="0" w:type="dxa"/>
            <w:left w:w="108" w:type="dxa"/>
            <w:bottom w:w="0" w:type="dxa"/>
            <w:right w:w="108" w:type="dxa"/>
          </w:tblCellMar>
        </w:tblPrEx>
        <w:trPr>
          <w:trHeight w:val="939" w:hRule="atLeast"/>
        </w:trPr>
        <w:tc>
          <w:tcPr>
            <w:tcW w:w="1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BFFD7">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档案、信息化管理及日常运维保障、机关党建</w:t>
            </w: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3E14E">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质量指标</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D2526">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档案数字化准确率</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300B0">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≥99%</w:t>
            </w:r>
          </w:p>
        </w:tc>
        <w:tc>
          <w:tcPr>
            <w:tcW w:w="11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FBD20">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≥99%</w:t>
            </w:r>
          </w:p>
        </w:tc>
      </w:tr>
      <w:tr w14:paraId="72E179ED">
        <w:tblPrEx>
          <w:tblCellMar>
            <w:top w:w="0" w:type="dxa"/>
            <w:left w:w="108" w:type="dxa"/>
            <w:bottom w:w="0" w:type="dxa"/>
            <w:right w:w="108" w:type="dxa"/>
          </w:tblCellMar>
        </w:tblPrEx>
        <w:trPr>
          <w:trHeight w:val="482" w:hRule="atLeast"/>
        </w:trPr>
        <w:tc>
          <w:tcPr>
            <w:tcW w:w="1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DC94E">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考古调查、勘探和发掘</w:t>
            </w: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A86E4">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质量指标</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A96F0">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勘探发掘合格率</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FCD78">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11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512E6">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229E3FD0">
        <w:tblPrEx>
          <w:tblCellMar>
            <w:top w:w="0" w:type="dxa"/>
            <w:left w:w="108" w:type="dxa"/>
            <w:bottom w:w="0" w:type="dxa"/>
            <w:right w:w="108" w:type="dxa"/>
          </w:tblCellMar>
        </w:tblPrEx>
        <w:trPr>
          <w:trHeight w:val="939" w:hRule="atLeast"/>
        </w:trPr>
        <w:tc>
          <w:tcPr>
            <w:tcW w:w="1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63923">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文物安全防护工程设计方案审核</w:t>
            </w: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647C6">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质量指标</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C9164">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评审工作的合规性</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F0ED6">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优</w:t>
            </w:r>
          </w:p>
        </w:tc>
        <w:tc>
          <w:tcPr>
            <w:tcW w:w="11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7C376">
            <w:pPr>
              <w:widowControl/>
              <w:shd w:val="clear"/>
              <w:jc w:val="center"/>
              <w:textAlignment w:val="center"/>
              <w:rPr>
                <w:rFonts w:hint="eastAsia" w:asciiTheme="minorEastAsia" w:hAnsiTheme="minorEastAsia" w:eastAsiaTheme="minorEastAsia" w:cstheme="minorEastAsia"/>
                <w:color w:val="000000"/>
                <w:szCs w:val="21"/>
                <w:highlight w:val="none"/>
                <w:lang w:val="en-US" w:eastAsia="zh-CN"/>
              </w:rPr>
            </w:pPr>
            <w:r>
              <w:rPr>
                <w:rFonts w:hint="eastAsia" w:asciiTheme="minorEastAsia" w:hAnsiTheme="minorEastAsia" w:eastAsiaTheme="minorEastAsia" w:cstheme="minorEastAsia"/>
                <w:color w:val="000000"/>
                <w:szCs w:val="21"/>
                <w:highlight w:val="none"/>
                <w:lang w:val="en-US" w:eastAsia="zh-CN"/>
              </w:rPr>
              <w:t>优</w:t>
            </w:r>
          </w:p>
        </w:tc>
      </w:tr>
      <w:tr w14:paraId="640CF5E9">
        <w:tblPrEx>
          <w:tblCellMar>
            <w:top w:w="0" w:type="dxa"/>
            <w:left w:w="108" w:type="dxa"/>
            <w:bottom w:w="0" w:type="dxa"/>
            <w:right w:w="108" w:type="dxa"/>
          </w:tblCellMar>
        </w:tblPrEx>
        <w:trPr>
          <w:trHeight w:val="482" w:hRule="atLeast"/>
        </w:trPr>
        <w:tc>
          <w:tcPr>
            <w:tcW w:w="1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7DC47">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文物保护和课题研究</w:t>
            </w: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5B51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质量指标</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722F2">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工作开展质量达标率</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8C79A">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≥95%</w:t>
            </w:r>
          </w:p>
        </w:tc>
        <w:tc>
          <w:tcPr>
            <w:tcW w:w="11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BB9EE">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4745423E">
        <w:tblPrEx>
          <w:tblCellMar>
            <w:top w:w="0" w:type="dxa"/>
            <w:left w:w="108" w:type="dxa"/>
            <w:bottom w:w="0" w:type="dxa"/>
            <w:right w:w="108" w:type="dxa"/>
          </w:tblCellMar>
        </w:tblPrEx>
        <w:trPr>
          <w:trHeight w:val="482" w:hRule="atLeast"/>
        </w:trPr>
        <w:tc>
          <w:tcPr>
            <w:tcW w:w="1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82A69">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文物保护和课题研究</w:t>
            </w: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6D587">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质量指标</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5728A">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课题评审通过率</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301B8">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≥85%</w:t>
            </w:r>
          </w:p>
        </w:tc>
        <w:tc>
          <w:tcPr>
            <w:tcW w:w="11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A3F54">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4A55A977">
        <w:tblPrEx>
          <w:tblCellMar>
            <w:top w:w="0" w:type="dxa"/>
            <w:left w:w="108" w:type="dxa"/>
            <w:bottom w:w="0" w:type="dxa"/>
            <w:right w:w="108" w:type="dxa"/>
          </w:tblCellMar>
        </w:tblPrEx>
        <w:trPr>
          <w:trHeight w:val="939" w:hRule="atLeast"/>
        </w:trPr>
        <w:tc>
          <w:tcPr>
            <w:tcW w:w="1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01295">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宣传活动</w:t>
            </w: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AAB78">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质量指标</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AB028">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宣传活动/宣传制品达标率</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F3317">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11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CBD5A">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5884E523">
        <w:tblPrEx>
          <w:tblCellMar>
            <w:top w:w="0" w:type="dxa"/>
            <w:left w:w="108" w:type="dxa"/>
            <w:bottom w:w="0" w:type="dxa"/>
            <w:right w:w="108" w:type="dxa"/>
          </w:tblCellMar>
        </w:tblPrEx>
        <w:trPr>
          <w:trHeight w:val="966" w:hRule="atLeast"/>
        </w:trPr>
        <w:tc>
          <w:tcPr>
            <w:tcW w:w="1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3885B">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宣传活动</w:t>
            </w: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EA1EA">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质量指标</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200AB">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重大舆情处置率</w:t>
            </w:r>
          </w:p>
        </w:tc>
        <w:tc>
          <w:tcPr>
            <w:tcW w:w="5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3EE5D">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≥95%</w:t>
            </w:r>
          </w:p>
        </w:tc>
        <w:tc>
          <w:tcPr>
            <w:tcW w:w="11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B64E2">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未发生重大舆情事件</w:t>
            </w:r>
          </w:p>
        </w:tc>
      </w:tr>
    </w:tbl>
    <w:p w14:paraId="72B9BAEE">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3.产出进度</w:t>
      </w:r>
    </w:p>
    <w:p w14:paraId="66F33F27">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围绕既定目标，市文物局全力以赴推进各项任务，各业务板块均严格把控时间节点，高效执行工作计划，为整体工作的有序开展和顺利推进筑牢了坚实根基。具体项目进度指标完成情况如下：</w:t>
      </w:r>
    </w:p>
    <w:tbl>
      <w:tblPr>
        <w:tblStyle w:val="15"/>
        <w:tblW w:w="5102" w:type="pct"/>
        <w:tblInd w:w="0" w:type="dxa"/>
        <w:tblLayout w:type="autofit"/>
        <w:tblCellMar>
          <w:top w:w="0" w:type="dxa"/>
          <w:left w:w="108" w:type="dxa"/>
          <w:bottom w:w="0" w:type="dxa"/>
          <w:right w:w="108" w:type="dxa"/>
        </w:tblCellMar>
      </w:tblPr>
      <w:tblGrid>
        <w:gridCol w:w="2291"/>
        <w:gridCol w:w="1091"/>
        <w:gridCol w:w="2409"/>
        <w:gridCol w:w="1449"/>
        <w:gridCol w:w="1456"/>
      </w:tblGrid>
      <w:tr w14:paraId="6F961BB4">
        <w:tblPrEx>
          <w:tblCellMar>
            <w:top w:w="0" w:type="dxa"/>
            <w:left w:w="108" w:type="dxa"/>
            <w:bottom w:w="0" w:type="dxa"/>
            <w:right w:w="108" w:type="dxa"/>
          </w:tblCellMar>
        </w:tblPrEx>
        <w:trPr>
          <w:trHeight w:val="428" w:hRule="atLeast"/>
          <w:tblHeader/>
        </w:trPr>
        <w:tc>
          <w:tcPr>
            <w:tcW w:w="1317"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3E40F756">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活动</w:t>
            </w:r>
          </w:p>
        </w:tc>
        <w:tc>
          <w:tcPr>
            <w:tcW w:w="627"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3DBD042D">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二级指标</w:t>
            </w:r>
          </w:p>
        </w:tc>
        <w:tc>
          <w:tcPr>
            <w:tcW w:w="1385"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60E81BD4">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绩效指标</w:t>
            </w:r>
          </w:p>
        </w:tc>
        <w:tc>
          <w:tcPr>
            <w:tcW w:w="833"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1AC0999B">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指标值</w:t>
            </w:r>
          </w:p>
        </w:tc>
        <w:tc>
          <w:tcPr>
            <w:tcW w:w="837" w:type="pct"/>
            <w:tcBorders>
              <w:top w:val="single" w:color="000000" w:sz="4" w:space="0"/>
              <w:left w:val="single" w:color="000000" w:sz="4" w:space="0"/>
              <w:bottom w:val="single" w:color="000000" w:sz="4" w:space="0"/>
              <w:right w:val="single" w:color="000000" w:sz="4" w:space="0"/>
            </w:tcBorders>
            <w:shd w:val="clear" w:color="EFF2F7" w:fill="EFF2F7"/>
            <w:vAlign w:val="center"/>
          </w:tcPr>
          <w:p w14:paraId="43E998EF">
            <w:pPr>
              <w:widowControl/>
              <w:shd w:val="clear"/>
              <w:jc w:val="center"/>
              <w:textAlignment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kern w:val="0"/>
                <w:szCs w:val="21"/>
                <w:highlight w:val="none"/>
                <w:lang w:bidi="ar"/>
              </w:rPr>
              <w:t>完成值</w:t>
            </w:r>
          </w:p>
        </w:tc>
      </w:tr>
      <w:tr w14:paraId="26E04DD8">
        <w:tblPrEx>
          <w:tblCellMar>
            <w:top w:w="0" w:type="dxa"/>
            <w:left w:w="108" w:type="dxa"/>
            <w:bottom w:w="0" w:type="dxa"/>
            <w:right w:w="108" w:type="dxa"/>
          </w:tblCellMar>
        </w:tblPrEx>
        <w:trPr>
          <w:trHeight w:val="1236" w:hRule="atLeast"/>
        </w:trPr>
        <w:tc>
          <w:tcPr>
            <w:tcW w:w="1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A322E">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财务基础工作</w:t>
            </w:r>
          </w:p>
        </w:tc>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BBA1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时效指标</w:t>
            </w:r>
          </w:p>
        </w:tc>
        <w:tc>
          <w:tcPr>
            <w:tcW w:w="1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4FB6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按时公开部门预、决算信息</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C91C8">
            <w:pPr>
              <w:widowControl/>
              <w:shd w:val="clear"/>
              <w:jc w:val="left"/>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好</w:t>
            </w:r>
          </w:p>
        </w:tc>
        <w:tc>
          <w:tcPr>
            <w:tcW w:w="8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DBE86">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按照要求及时公开部门预、决算信息</w:t>
            </w:r>
          </w:p>
        </w:tc>
      </w:tr>
      <w:tr w14:paraId="3AFCB0C4">
        <w:tblPrEx>
          <w:tblCellMar>
            <w:top w:w="0" w:type="dxa"/>
            <w:left w:w="108" w:type="dxa"/>
            <w:bottom w:w="0" w:type="dxa"/>
            <w:right w:w="108" w:type="dxa"/>
          </w:tblCellMar>
        </w:tblPrEx>
        <w:trPr>
          <w:trHeight w:val="832" w:hRule="atLeast"/>
        </w:trPr>
        <w:tc>
          <w:tcPr>
            <w:tcW w:w="1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20933">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档案、信息化管理及日常运维保障、机关党建</w:t>
            </w:r>
          </w:p>
        </w:tc>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7D8FD">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时效指标</w:t>
            </w:r>
          </w:p>
        </w:tc>
        <w:tc>
          <w:tcPr>
            <w:tcW w:w="1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65076">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档案数字化按时完成率</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16597">
            <w:pPr>
              <w:widowControl/>
              <w:shd w:val="clear"/>
              <w:jc w:val="left"/>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8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12A1B">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307238CF">
        <w:tblPrEx>
          <w:tblCellMar>
            <w:top w:w="0" w:type="dxa"/>
            <w:left w:w="108" w:type="dxa"/>
            <w:bottom w:w="0" w:type="dxa"/>
            <w:right w:w="108" w:type="dxa"/>
          </w:tblCellMar>
        </w:tblPrEx>
        <w:trPr>
          <w:trHeight w:val="832" w:hRule="atLeast"/>
        </w:trPr>
        <w:tc>
          <w:tcPr>
            <w:tcW w:w="1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F6D15">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法律咨询及普法宣传</w:t>
            </w:r>
          </w:p>
        </w:tc>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AE247">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时效指标</w:t>
            </w:r>
          </w:p>
        </w:tc>
        <w:tc>
          <w:tcPr>
            <w:tcW w:w="1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31606">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行业部门合同管理保障时效</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3F3C1">
            <w:pPr>
              <w:widowControl/>
              <w:shd w:val="clear"/>
              <w:jc w:val="left"/>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8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866FA">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597E7EF6">
        <w:tblPrEx>
          <w:tblCellMar>
            <w:top w:w="0" w:type="dxa"/>
            <w:left w:w="108" w:type="dxa"/>
            <w:bottom w:w="0" w:type="dxa"/>
            <w:right w:w="108" w:type="dxa"/>
          </w:tblCellMar>
        </w:tblPrEx>
        <w:trPr>
          <w:trHeight w:val="1641" w:hRule="atLeast"/>
        </w:trPr>
        <w:tc>
          <w:tcPr>
            <w:tcW w:w="1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D0FD6">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考古调查、勘探和发掘</w:t>
            </w:r>
          </w:p>
        </w:tc>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731C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时效指标</w:t>
            </w:r>
          </w:p>
        </w:tc>
        <w:tc>
          <w:tcPr>
            <w:tcW w:w="1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52554">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考古调查、勘探和发掘根据申报情况和基本建设工程项目年度安排工作按计划完成率</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35262">
            <w:pPr>
              <w:widowControl/>
              <w:shd w:val="clear"/>
              <w:jc w:val="left"/>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8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995CD">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49491F6F">
        <w:tblPrEx>
          <w:tblCellMar>
            <w:top w:w="0" w:type="dxa"/>
            <w:left w:w="108" w:type="dxa"/>
            <w:bottom w:w="0" w:type="dxa"/>
            <w:right w:w="108" w:type="dxa"/>
          </w:tblCellMar>
        </w:tblPrEx>
        <w:trPr>
          <w:trHeight w:val="832" w:hRule="atLeast"/>
        </w:trPr>
        <w:tc>
          <w:tcPr>
            <w:tcW w:w="131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941E4AB">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文物安全防护工程设计方案审核</w:t>
            </w:r>
          </w:p>
        </w:tc>
        <w:tc>
          <w:tcPr>
            <w:tcW w:w="6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227C885">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时效指标</w:t>
            </w:r>
          </w:p>
        </w:tc>
        <w:tc>
          <w:tcPr>
            <w:tcW w:w="138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05654BF">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评审工作的及时性</w:t>
            </w:r>
          </w:p>
        </w:tc>
        <w:tc>
          <w:tcPr>
            <w:tcW w:w="83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E1EEF33">
            <w:pPr>
              <w:widowControl/>
              <w:shd w:val="clear"/>
              <w:jc w:val="left"/>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8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D4AAB">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112BD491">
        <w:tblPrEx>
          <w:tblCellMar>
            <w:top w:w="0" w:type="dxa"/>
            <w:left w:w="108" w:type="dxa"/>
            <w:bottom w:w="0" w:type="dxa"/>
            <w:right w:w="108" w:type="dxa"/>
          </w:tblCellMar>
        </w:tblPrEx>
        <w:trPr>
          <w:trHeight w:val="428" w:hRule="atLeast"/>
        </w:trPr>
        <w:tc>
          <w:tcPr>
            <w:tcW w:w="131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4AC19A3">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文物保护和课题研究</w:t>
            </w:r>
          </w:p>
        </w:tc>
        <w:tc>
          <w:tcPr>
            <w:tcW w:w="6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191326C">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时效指标</w:t>
            </w:r>
          </w:p>
        </w:tc>
        <w:tc>
          <w:tcPr>
            <w:tcW w:w="138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E77C342">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课题按计划结题率</w:t>
            </w:r>
          </w:p>
        </w:tc>
        <w:tc>
          <w:tcPr>
            <w:tcW w:w="83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FF320EC">
            <w:pPr>
              <w:widowControl/>
              <w:shd w:val="clear"/>
              <w:jc w:val="left"/>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≥85%</w:t>
            </w:r>
          </w:p>
        </w:tc>
        <w:tc>
          <w:tcPr>
            <w:tcW w:w="8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A360C">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6B529288">
        <w:tblPrEx>
          <w:tblCellMar>
            <w:top w:w="0" w:type="dxa"/>
            <w:left w:w="108" w:type="dxa"/>
            <w:bottom w:w="0" w:type="dxa"/>
            <w:right w:w="108" w:type="dxa"/>
          </w:tblCellMar>
        </w:tblPrEx>
        <w:trPr>
          <w:trHeight w:val="428" w:hRule="atLeast"/>
        </w:trPr>
        <w:tc>
          <w:tcPr>
            <w:tcW w:w="131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BC6A0A0">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文物保护和课题研究</w:t>
            </w:r>
          </w:p>
        </w:tc>
        <w:tc>
          <w:tcPr>
            <w:tcW w:w="6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D1FA47D">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时效指标</w:t>
            </w:r>
          </w:p>
        </w:tc>
        <w:tc>
          <w:tcPr>
            <w:tcW w:w="138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119F44A">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项目按计划完成率</w:t>
            </w:r>
          </w:p>
        </w:tc>
        <w:tc>
          <w:tcPr>
            <w:tcW w:w="83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3A14864">
            <w:pPr>
              <w:widowControl/>
              <w:shd w:val="clear"/>
              <w:jc w:val="left"/>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8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9BB81">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r w14:paraId="437D04D1">
        <w:tblPrEx>
          <w:tblCellMar>
            <w:top w:w="0" w:type="dxa"/>
            <w:left w:w="108" w:type="dxa"/>
            <w:bottom w:w="0" w:type="dxa"/>
            <w:right w:w="108" w:type="dxa"/>
          </w:tblCellMar>
        </w:tblPrEx>
        <w:trPr>
          <w:trHeight w:val="452" w:hRule="atLeast"/>
        </w:trPr>
        <w:tc>
          <w:tcPr>
            <w:tcW w:w="131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4859183">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宣传活动</w:t>
            </w:r>
          </w:p>
        </w:tc>
        <w:tc>
          <w:tcPr>
            <w:tcW w:w="627"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C082F03">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时效指标</w:t>
            </w:r>
          </w:p>
        </w:tc>
        <w:tc>
          <w:tcPr>
            <w:tcW w:w="1385"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EA72A56">
            <w:pPr>
              <w:widowControl/>
              <w:shd w:val="clear"/>
              <w:jc w:val="left"/>
              <w:textAlignment w:val="center"/>
              <w:rPr>
                <w:rFonts w:hint="default" w:ascii="Times New Roman" w:hAnsi="Times New Roman" w:cs="Times New Roman"/>
                <w:color w:val="000000"/>
                <w:szCs w:val="21"/>
                <w:highlight w:val="none"/>
              </w:rPr>
            </w:pPr>
            <w:r>
              <w:rPr>
                <w:rFonts w:hint="default" w:ascii="Times New Roman" w:hAnsi="Times New Roman" w:cs="Times New Roman"/>
                <w:color w:val="000000"/>
                <w:kern w:val="0"/>
                <w:szCs w:val="21"/>
                <w:highlight w:val="none"/>
                <w:lang w:bidi="ar"/>
              </w:rPr>
              <w:t>各项工作按时完成率</w:t>
            </w:r>
          </w:p>
        </w:tc>
        <w:tc>
          <w:tcPr>
            <w:tcW w:w="83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EA13BEF">
            <w:pPr>
              <w:widowControl/>
              <w:shd w:val="clear"/>
              <w:jc w:val="left"/>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8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C04A3">
            <w:pPr>
              <w:widowControl/>
              <w:shd w:val="clear"/>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r>
    </w:tbl>
    <w:p w14:paraId="27F987E3">
      <w:pPr>
        <w:shd w:val="clear"/>
        <w:adjustRightInd w:val="0"/>
        <w:snapToGrid w:val="0"/>
        <w:spacing w:before="156" w:beforeLines="50" w:line="360" w:lineRule="auto"/>
        <w:ind w:firstLine="640" w:firstLineChars="200"/>
        <w:outlineLvl w:val="1"/>
        <w:rPr>
          <w:rFonts w:hint="default" w:ascii="Times New Roman" w:hAnsi="Times New Roman" w:eastAsia="楷体_GB2312" w:cs="Times New Roman"/>
          <w:sz w:val="32"/>
          <w:szCs w:val="32"/>
          <w:highlight w:val="none"/>
        </w:rPr>
      </w:pPr>
      <w:bookmarkStart w:id="22" w:name="_Toc12644"/>
      <w:bookmarkStart w:id="23" w:name="_Toc5929"/>
      <w:bookmarkStart w:id="24" w:name="_Toc13973"/>
      <w:r>
        <w:rPr>
          <w:rFonts w:hint="default" w:ascii="Times New Roman" w:hAnsi="Times New Roman" w:eastAsia="楷体_GB2312" w:cs="Times New Roman"/>
          <w:sz w:val="32"/>
          <w:szCs w:val="32"/>
          <w:highlight w:val="none"/>
        </w:rPr>
        <w:t>（二）效果实现情况分析</w:t>
      </w:r>
      <w:bookmarkEnd w:id="22"/>
      <w:bookmarkEnd w:id="23"/>
      <w:bookmarkEnd w:id="24"/>
    </w:p>
    <w:p w14:paraId="67677682">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2024年，市文物局在市委、市政府的坚强领导下，全面贯彻落实党的精神，围绕中心、服务大局，扎实推进文物保护利用各项工作，</w:t>
      </w:r>
      <w:r>
        <w:rPr>
          <w:rFonts w:hint="eastAsia" w:ascii="CESI仿宋-GB2312" w:hAnsi="CESI仿宋-GB2312" w:eastAsia="CESI仿宋-GB2312" w:cs="CESI仿宋-GB2312"/>
          <w:color w:val="000000"/>
          <w:kern w:val="2"/>
          <w:sz w:val="32"/>
          <w:szCs w:val="32"/>
          <w:highlight w:val="none"/>
          <w:lang w:val="en-US" w:eastAsia="zh-CN" w:bidi="ar-SA"/>
        </w:rPr>
        <w:t>成效显著</w:t>
      </w:r>
      <w:r>
        <w:rPr>
          <w:rFonts w:hint="default" w:ascii="CESI仿宋-GB2312" w:hAnsi="CESI仿宋-GB2312" w:eastAsia="CESI仿宋-GB2312" w:cs="CESI仿宋-GB2312"/>
          <w:color w:val="000000"/>
          <w:kern w:val="2"/>
          <w:sz w:val="32"/>
          <w:szCs w:val="32"/>
          <w:highlight w:val="none"/>
          <w:lang w:val="en-US" w:eastAsia="zh-CN" w:bidi="ar-SA"/>
        </w:rPr>
        <w:t>，为首都全国文化中心建设做出了积极贡献。</w:t>
      </w:r>
    </w:p>
    <w:p w14:paraId="4F0BA690">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1.效益的实现情况</w:t>
      </w:r>
    </w:p>
    <w:p w14:paraId="1113D558">
      <w:pPr>
        <w:pStyle w:val="8"/>
        <w:shd w:val="clear"/>
        <w:adjustRightInd w:val="0"/>
        <w:snapToGrid w:val="0"/>
        <w:spacing w:line="360" w:lineRule="auto"/>
        <w:ind w:firstLine="640" w:firstLineChars="200"/>
        <w:outlineLvl w:val="2"/>
        <w:rPr>
          <w:rFonts w:hint="eastAsia" w:ascii="CESI仿宋-GB2312" w:hAnsi="CESI仿宋-GB2312" w:eastAsia="CESI仿宋-GB2312" w:cs="CESI仿宋-GB2312"/>
          <w:color w:val="000000"/>
          <w:kern w:val="2"/>
          <w:sz w:val="32"/>
          <w:szCs w:val="32"/>
          <w:highlight w:val="none"/>
          <w:lang w:val="en-US" w:eastAsia="zh-CN" w:bidi="ar-SA"/>
        </w:rPr>
      </w:pPr>
      <w:r>
        <w:rPr>
          <w:rFonts w:hint="eastAsia" w:ascii="CESI仿宋-GB2312" w:hAnsi="CESI仿宋-GB2312" w:eastAsia="CESI仿宋-GB2312" w:cs="CESI仿宋-GB2312"/>
          <w:color w:val="000000"/>
          <w:kern w:val="2"/>
          <w:sz w:val="32"/>
          <w:szCs w:val="32"/>
          <w:highlight w:val="none"/>
          <w:lang w:val="en-US" w:eastAsia="zh-CN" w:bidi="ar-SA"/>
        </w:rPr>
        <w:t>（1）北京中轴线申遗成功。高质量准备申遗材料，制定策略，开展国际交流，参加第46届世界遗产大会，“北京中轴线：中国都城秩序的杰作”全要素列入《世界遗产名</w:t>
      </w:r>
      <w:r>
        <w:rPr>
          <w:rFonts w:hint="eastAsia" w:ascii="Times New Roman" w:hAnsi="Times New Roman" w:eastAsia="仿宋_GB2312" w:cs="Times New Roman"/>
          <w:color w:val="000000"/>
          <w:kern w:val="0"/>
          <w:sz w:val="32"/>
          <w:szCs w:val="32"/>
          <w:highlight w:val="none"/>
          <w:lang w:eastAsia="zh-CN"/>
        </w:rPr>
        <w:t>录》。</w:t>
      </w:r>
      <w:r>
        <w:rPr>
          <w:rFonts w:hint="eastAsia" w:ascii="CESI仿宋-GB2312" w:hAnsi="CESI仿宋-GB2312" w:eastAsia="CESI仿宋-GB2312" w:cs="CESI仿宋-GB2312"/>
          <w:color w:val="000000"/>
          <w:kern w:val="2"/>
          <w:sz w:val="32"/>
          <w:szCs w:val="32"/>
          <w:highlight w:val="none"/>
          <w:lang w:val="en-US" w:eastAsia="zh-CN" w:bidi="ar-SA"/>
        </w:rPr>
        <w:t>举办申遗相关活动和成果展、大赛、总结大会。万宁桥限行，部分场所开放，“三办”等搬迁腾退有进展。总结“北京经验”，编制大事记、三年行动计划和传播措施。</w:t>
      </w:r>
    </w:p>
    <w:p w14:paraId="0769FDCF">
      <w:pPr>
        <w:pStyle w:val="8"/>
        <w:shd w:val="clear"/>
        <w:adjustRightInd w:val="0"/>
        <w:snapToGrid w:val="0"/>
        <w:spacing w:line="360" w:lineRule="auto"/>
        <w:ind w:firstLine="640" w:firstLineChars="200"/>
        <w:outlineLvl w:val="2"/>
        <w:rPr>
          <w:rFonts w:hint="eastAsia" w:ascii="CESI仿宋-GB2312" w:hAnsi="CESI仿宋-GB2312" w:eastAsia="CESI仿宋-GB2312" w:cs="CESI仿宋-GB2312"/>
          <w:color w:val="000000"/>
          <w:kern w:val="2"/>
          <w:sz w:val="32"/>
          <w:szCs w:val="32"/>
          <w:highlight w:val="none"/>
          <w:lang w:val="en-US" w:eastAsia="zh-CN" w:bidi="ar-SA"/>
        </w:rPr>
      </w:pPr>
      <w:r>
        <w:rPr>
          <w:rFonts w:hint="eastAsia" w:ascii="CESI仿宋-GB2312" w:hAnsi="CESI仿宋-GB2312" w:eastAsia="CESI仿宋-GB2312" w:cs="CESI仿宋-GB2312"/>
          <w:color w:val="000000"/>
          <w:kern w:val="2"/>
          <w:sz w:val="32"/>
          <w:szCs w:val="32"/>
          <w:highlight w:val="none"/>
          <w:lang w:val="en-US" w:eastAsia="zh-CN" w:bidi="ar-SA"/>
        </w:rPr>
        <w:t>（2）北京博物馆之城建设上新台阶。印发发展规划，启动改革试点。完善体系布局，新增备案博物馆15家、培育挂牌类29家。全市博物馆年展览超2000个、活动超3万场、接待观众超9000万人次，部分展览和文创出圈。策划重点文博区，推动馆城、文旅融合，举办文创大赛，征集作品超2万件。</w:t>
      </w:r>
    </w:p>
    <w:p w14:paraId="2F00A3D0">
      <w:pPr>
        <w:pStyle w:val="8"/>
        <w:shd w:val="clear"/>
        <w:adjustRightInd w:val="0"/>
        <w:snapToGrid w:val="0"/>
        <w:spacing w:line="360" w:lineRule="auto"/>
        <w:ind w:firstLine="640" w:firstLineChars="200"/>
        <w:outlineLvl w:val="2"/>
        <w:rPr>
          <w:rFonts w:hint="eastAsia" w:ascii="CESI仿宋-GB2312" w:hAnsi="CESI仿宋-GB2312" w:eastAsia="CESI仿宋-GB2312" w:cs="CESI仿宋-GB2312"/>
          <w:color w:val="000000"/>
          <w:kern w:val="2"/>
          <w:sz w:val="32"/>
          <w:szCs w:val="32"/>
          <w:highlight w:val="none"/>
          <w:lang w:val="en-US" w:eastAsia="zh-CN" w:bidi="ar-SA"/>
        </w:rPr>
      </w:pPr>
      <w:r>
        <w:rPr>
          <w:rFonts w:hint="eastAsia" w:ascii="CESI仿宋-GB2312" w:hAnsi="CESI仿宋-GB2312" w:eastAsia="CESI仿宋-GB2312" w:cs="CESI仿宋-GB2312"/>
          <w:color w:val="000000"/>
          <w:kern w:val="2"/>
          <w:sz w:val="32"/>
          <w:szCs w:val="32"/>
          <w:highlight w:val="none"/>
          <w:lang w:val="en-US" w:eastAsia="zh-CN" w:bidi="ar-SA"/>
        </w:rPr>
        <w:t>（3）国家文化公园和三条文化带建设助推文物保护。长城文化带：总书记肯定成效，推进条例立项，编制三年行动计划，博物馆改造有进展，打造探访线路，举办文化节。大运河文化带：路县故城遗址工程完工，有考古新发现，完成墓地遗址整治。西山永定河文化带：部分场馆开放或完成相关编制，举办文化节。</w:t>
      </w:r>
    </w:p>
    <w:p w14:paraId="675F1A6B">
      <w:pPr>
        <w:pStyle w:val="8"/>
        <w:shd w:val="clear"/>
        <w:adjustRightInd w:val="0"/>
        <w:snapToGrid w:val="0"/>
        <w:spacing w:line="360" w:lineRule="auto"/>
        <w:ind w:firstLine="640" w:firstLineChars="200"/>
        <w:outlineLvl w:val="2"/>
        <w:rPr>
          <w:rFonts w:hint="eastAsia" w:ascii="CESI仿宋-GB2312" w:hAnsi="CESI仿宋-GB2312" w:eastAsia="CESI仿宋-GB2312" w:cs="CESI仿宋-GB2312"/>
          <w:color w:val="000000"/>
          <w:kern w:val="2"/>
          <w:sz w:val="32"/>
          <w:szCs w:val="32"/>
          <w:highlight w:val="none"/>
          <w:lang w:val="en-US" w:eastAsia="zh-CN" w:bidi="ar-SA"/>
        </w:rPr>
      </w:pPr>
      <w:r>
        <w:rPr>
          <w:rFonts w:hint="eastAsia" w:ascii="CESI仿宋-GB2312" w:hAnsi="CESI仿宋-GB2312" w:eastAsia="CESI仿宋-GB2312" w:cs="CESI仿宋-GB2312"/>
          <w:color w:val="000000"/>
          <w:kern w:val="2"/>
          <w:sz w:val="32"/>
          <w:szCs w:val="32"/>
          <w:highlight w:val="none"/>
          <w:lang w:val="en-US" w:eastAsia="zh-CN" w:bidi="ar-SA"/>
        </w:rPr>
        <w:t>（4）国际文物艺术品交易中心建设彰显地位。培育市场主体，保持龙头地位。推行审核告知承诺制，审批拍卖会和文物标的多。推动数据平台建设，开展公益鉴定，举办博览会，吸引众多展商和爱好者。</w:t>
      </w:r>
    </w:p>
    <w:p w14:paraId="02770A7D">
      <w:pPr>
        <w:pStyle w:val="8"/>
        <w:shd w:val="clear"/>
        <w:adjustRightInd w:val="0"/>
        <w:snapToGrid w:val="0"/>
        <w:spacing w:line="360" w:lineRule="auto"/>
        <w:ind w:firstLine="640" w:firstLineChars="200"/>
        <w:outlineLvl w:val="2"/>
        <w:rPr>
          <w:rFonts w:hint="eastAsia" w:ascii="CESI仿宋-GB2312" w:hAnsi="CESI仿宋-GB2312" w:eastAsia="CESI仿宋-GB2312" w:cs="CESI仿宋-GB2312"/>
          <w:color w:val="000000"/>
          <w:kern w:val="2"/>
          <w:sz w:val="32"/>
          <w:szCs w:val="32"/>
          <w:highlight w:val="none"/>
          <w:lang w:val="en-US" w:eastAsia="zh-CN" w:bidi="ar-SA"/>
        </w:rPr>
      </w:pPr>
      <w:r>
        <w:rPr>
          <w:rFonts w:hint="eastAsia" w:ascii="CESI仿宋-GB2312" w:hAnsi="CESI仿宋-GB2312" w:eastAsia="CESI仿宋-GB2312" w:cs="CESI仿宋-GB2312"/>
          <w:color w:val="000000"/>
          <w:kern w:val="2"/>
          <w:sz w:val="32"/>
          <w:szCs w:val="32"/>
          <w:highlight w:val="none"/>
          <w:lang w:val="en-US" w:eastAsia="zh-CN" w:bidi="ar-SA"/>
        </w:rPr>
        <w:t>（5）考古和大遗址保护成效显著。完成多项考古调查、勘探和发掘，保障项目实施。开展历史文化溯源工程，发布重要发现。琉璃河国家考古遗址公园建设顺利，开展试点工作，加强对外交流，举办相关活动。</w:t>
      </w:r>
    </w:p>
    <w:p w14:paraId="1E099EAC">
      <w:pPr>
        <w:pStyle w:val="8"/>
        <w:shd w:val="clear"/>
        <w:adjustRightInd w:val="0"/>
        <w:snapToGrid w:val="0"/>
        <w:spacing w:line="360" w:lineRule="auto"/>
        <w:ind w:firstLine="640" w:firstLineChars="200"/>
        <w:outlineLvl w:val="2"/>
        <w:rPr>
          <w:rFonts w:hint="eastAsia" w:ascii="CESI仿宋-GB2312" w:hAnsi="CESI仿宋-GB2312" w:eastAsia="CESI仿宋-GB2312" w:cs="CESI仿宋-GB2312"/>
          <w:color w:val="000000"/>
          <w:kern w:val="2"/>
          <w:sz w:val="32"/>
          <w:szCs w:val="32"/>
          <w:highlight w:val="none"/>
          <w:lang w:val="en-US" w:eastAsia="zh-CN" w:bidi="ar-SA"/>
        </w:rPr>
      </w:pPr>
      <w:r>
        <w:rPr>
          <w:rFonts w:hint="eastAsia" w:ascii="CESI仿宋-GB2312" w:hAnsi="CESI仿宋-GB2312" w:eastAsia="CESI仿宋-GB2312" w:cs="CESI仿宋-GB2312"/>
          <w:color w:val="000000"/>
          <w:kern w:val="2"/>
          <w:sz w:val="32"/>
          <w:szCs w:val="32"/>
          <w:highlight w:val="none"/>
          <w:lang w:val="en-US" w:eastAsia="zh-CN" w:bidi="ar-SA"/>
        </w:rPr>
        <w:t>（6）文物保护传承利用亮点多。全国文物普查启动，实地调查推进，复查率82%。发布示范区建设方案和管理办法，公布创建名单。用好活化利用平台，推进革命文物数字化保护，开展主题游径活动，发出三地建设倡议书。参与筹办文化论坛，承办平行论坛，召开联盟工作会，打造品牌。</w:t>
      </w:r>
    </w:p>
    <w:p w14:paraId="0EE67A42">
      <w:pPr>
        <w:pStyle w:val="8"/>
        <w:shd w:val="clear"/>
        <w:adjustRightInd w:val="0"/>
        <w:snapToGrid w:val="0"/>
        <w:spacing w:line="360" w:lineRule="auto"/>
        <w:ind w:firstLine="640" w:firstLineChars="200"/>
        <w:outlineLvl w:val="2"/>
        <w:rPr>
          <w:rFonts w:hint="eastAsia" w:ascii="CESI仿宋-GB2312" w:hAnsi="CESI仿宋-GB2312" w:eastAsia="CESI仿宋-GB2312" w:cs="CESI仿宋-GB2312"/>
          <w:color w:val="000000"/>
          <w:kern w:val="2"/>
          <w:sz w:val="32"/>
          <w:szCs w:val="32"/>
          <w:highlight w:val="none"/>
          <w:lang w:val="en-US" w:eastAsia="zh-CN" w:bidi="ar-SA"/>
        </w:rPr>
      </w:pPr>
      <w:r>
        <w:rPr>
          <w:rFonts w:hint="eastAsia" w:ascii="CESI仿宋-GB2312" w:hAnsi="CESI仿宋-GB2312" w:eastAsia="CESI仿宋-GB2312" w:cs="CESI仿宋-GB2312"/>
          <w:color w:val="000000"/>
          <w:kern w:val="2"/>
          <w:sz w:val="32"/>
          <w:szCs w:val="32"/>
          <w:highlight w:val="none"/>
          <w:lang w:val="en-US" w:eastAsia="zh-CN" w:bidi="ar-SA"/>
        </w:rPr>
        <w:t xml:space="preserve">（7）筑牢文物保护和安全屏障。完善地方标准，申报工作室，筹备联盟。开展工程质量监督，完成灾损评估，开展灾后恢复。建设监管平台，开展安全攻坚行动。把好宣传关口，加大宣传力度，获宣传部门表彰。 </w:t>
      </w:r>
    </w:p>
    <w:p w14:paraId="0511C9CB">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2.服务对象满意度</w:t>
      </w:r>
      <w:bookmarkStart w:id="25" w:name="_Toc12197"/>
    </w:p>
    <w:p w14:paraId="7CB08F6A">
      <w:pPr>
        <w:pStyle w:val="8"/>
        <w:shd w:val="clear"/>
        <w:adjustRightInd w:val="0"/>
        <w:snapToGrid w:val="0"/>
        <w:spacing w:line="360" w:lineRule="auto"/>
        <w:ind w:firstLine="640" w:firstLineChars="200"/>
        <w:outlineLvl w:val="2"/>
        <w:rPr>
          <w:rFonts w:hint="default" w:ascii="Times New Roman" w:hAnsi="Times New Roman" w:eastAsia="仿宋_GB2312" w:cs="Times New Roman"/>
          <w:kern w:val="0"/>
          <w:sz w:val="32"/>
          <w:szCs w:val="32"/>
          <w:highlight w:val="none"/>
        </w:rPr>
      </w:pPr>
      <w:r>
        <w:rPr>
          <w:rFonts w:hint="default" w:ascii="CESI仿宋-GB2312" w:hAnsi="CESI仿宋-GB2312" w:eastAsia="CESI仿宋-GB2312" w:cs="CESI仿宋-GB2312"/>
          <w:color w:val="000000"/>
          <w:kern w:val="2"/>
          <w:sz w:val="32"/>
          <w:szCs w:val="32"/>
          <w:highlight w:val="none"/>
          <w:lang w:val="en-US" w:eastAsia="zh-CN" w:bidi="ar-SA"/>
        </w:rPr>
        <w:t>2024年北京市人民政府办公厅对市文物局绩效考评结考评等次为“优秀”</w:t>
      </w:r>
      <w:r>
        <w:rPr>
          <w:rFonts w:hint="eastAsia" w:ascii="CESI仿宋-GB2312" w:hAnsi="CESI仿宋-GB2312" w:eastAsia="CESI仿宋-GB2312" w:cs="CESI仿宋-GB2312"/>
          <w:color w:val="000000"/>
          <w:kern w:val="2"/>
          <w:sz w:val="32"/>
          <w:szCs w:val="32"/>
          <w:highlight w:val="none"/>
          <w:lang w:val="en-US" w:eastAsia="zh-CN" w:bidi="ar-SA"/>
        </w:rPr>
        <w:t>，</w:t>
      </w:r>
      <w:r>
        <w:rPr>
          <w:rFonts w:hint="default" w:ascii="CESI仿宋-GB2312" w:hAnsi="CESI仿宋-GB2312" w:eastAsia="CESI仿宋-GB2312" w:cs="CESI仿宋-GB2312"/>
          <w:color w:val="000000"/>
          <w:kern w:val="2"/>
          <w:sz w:val="32"/>
          <w:szCs w:val="32"/>
          <w:highlight w:val="none"/>
          <w:lang w:val="en-US" w:eastAsia="zh-CN" w:bidi="ar-SA"/>
        </w:rPr>
        <w:t>接诉即办月度满意率平均值为96.86%。</w:t>
      </w:r>
    </w:p>
    <w:p w14:paraId="3BD4F9E9">
      <w:pPr>
        <w:shd w:val="clear"/>
        <w:adjustRightInd w:val="0"/>
        <w:snapToGrid w:val="0"/>
        <w:spacing w:line="360" w:lineRule="auto"/>
        <w:ind w:firstLine="640" w:firstLineChars="200"/>
        <w:outlineLvl w:val="0"/>
        <w:rPr>
          <w:rFonts w:hint="default" w:ascii="Times New Roman" w:hAnsi="Times New Roman" w:eastAsia="黑体" w:cs="Times New Roman"/>
          <w:color w:val="000000"/>
          <w:kern w:val="0"/>
          <w:sz w:val="32"/>
          <w:szCs w:val="32"/>
          <w:highlight w:val="none"/>
        </w:rPr>
      </w:pPr>
      <w:bookmarkStart w:id="26" w:name="_Toc31376"/>
      <w:bookmarkStart w:id="27" w:name="_Toc15599"/>
      <w:r>
        <w:rPr>
          <w:rFonts w:hint="default" w:ascii="Times New Roman" w:hAnsi="Times New Roman" w:eastAsia="黑体" w:cs="Times New Roman"/>
          <w:color w:val="000000"/>
          <w:kern w:val="0"/>
          <w:sz w:val="32"/>
          <w:szCs w:val="32"/>
          <w:highlight w:val="none"/>
        </w:rPr>
        <w:t>四、预算管理情况分析</w:t>
      </w:r>
      <w:bookmarkEnd w:id="25"/>
      <w:bookmarkEnd w:id="26"/>
      <w:bookmarkEnd w:id="27"/>
    </w:p>
    <w:p w14:paraId="6CD97D50">
      <w:pPr>
        <w:shd w:val="clear"/>
        <w:adjustRightInd w:val="0"/>
        <w:snapToGrid w:val="0"/>
        <w:spacing w:line="360" w:lineRule="auto"/>
        <w:ind w:firstLine="640" w:firstLineChars="200"/>
        <w:outlineLvl w:val="1"/>
        <w:rPr>
          <w:rFonts w:hint="default" w:ascii="Times New Roman" w:hAnsi="Times New Roman" w:eastAsia="楷体_GB2312" w:cs="Times New Roman"/>
          <w:sz w:val="32"/>
          <w:szCs w:val="32"/>
          <w:highlight w:val="none"/>
        </w:rPr>
      </w:pPr>
      <w:bookmarkStart w:id="28" w:name="_Toc4984"/>
      <w:bookmarkStart w:id="29" w:name="_Toc24305"/>
      <w:bookmarkStart w:id="30" w:name="_Toc14565"/>
      <w:r>
        <w:rPr>
          <w:rFonts w:hint="default" w:ascii="Times New Roman" w:hAnsi="Times New Roman" w:eastAsia="楷体_GB2312" w:cs="Times New Roman"/>
          <w:sz w:val="32"/>
          <w:szCs w:val="32"/>
          <w:highlight w:val="none"/>
        </w:rPr>
        <w:t>（一）财务管理</w:t>
      </w:r>
      <w:bookmarkEnd w:id="28"/>
      <w:bookmarkEnd w:id="29"/>
      <w:bookmarkEnd w:id="30"/>
    </w:p>
    <w:p w14:paraId="67414B79">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1.财务管理制度健全性</w:t>
      </w:r>
    </w:p>
    <w:p w14:paraId="140EE712">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市文物局在财务管理方面严格贯彻了中央及北京市的各项财务管理法律法规与制度要求，结合本单位实际情况，市文物局建立健全了内部控制体系。为适应内外部管理环境的变化需求汇编进行了全面修订</w:t>
      </w:r>
      <w:r>
        <w:rPr>
          <w:rFonts w:hint="eastAsia" w:ascii="CESI仿宋-GB2312" w:hAnsi="CESI仿宋-GB2312" w:eastAsia="CESI仿宋-GB2312" w:cs="CESI仿宋-GB2312"/>
          <w:color w:val="000000"/>
          <w:kern w:val="2"/>
          <w:sz w:val="32"/>
          <w:szCs w:val="32"/>
          <w:highlight w:val="none"/>
          <w:lang w:val="en-US" w:eastAsia="zh-CN" w:bidi="ar-SA"/>
        </w:rPr>
        <w:t>并</w:t>
      </w:r>
      <w:r>
        <w:rPr>
          <w:rFonts w:hint="default" w:ascii="CESI仿宋-GB2312" w:hAnsi="CESI仿宋-GB2312" w:eastAsia="CESI仿宋-GB2312" w:cs="CESI仿宋-GB2312"/>
          <w:color w:val="000000"/>
          <w:kern w:val="2"/>
          <w:sz w:val="32"/>
          <w:szCs w:val="32"/>
          <w:highlight w:val="none"/>
          <w:lang w:val="en-US" w:eastAsia="zh-CN" w:bidi="ar-SA"/>
        </w:rPr>
        <w:t>正式印发实施。为规范财务管理提供了坚实的制度保障。</w:t>
      </w:r>
    </w:p>
    <w:p w14:paraId="6C01F31F">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2.资金使用合规性和安全性</w:t>
      </w:r>
    </w:p>
    <w:p w14:paraId="604D870E">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市文物局在推动首都文博事业发展过程中，高度重视预算资金管理，严格遵循法规制度，确保资金运行规范、安全，为文物工作筑牢资金保障防线。一是严格遵守国家财经法规、财务管理制度以及专项资金管理办法，将资金使用严格限定在制度框架内，从源头上杜绝违规操作。二是构建了规范完整的资金拨付审批程序，每笔资金拨付都需经过严格审批。三是始终坚持专款专用原则，严格按照部门预算批复用途使用资金，杜绝挪用、截留等现象。</w:t>
      </w:r>
    </w:p>
    <w:p w14:paraId="30B6448B">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3.会计基础信息完善性</w:t>
      </w:r>
    </w:p>
    <w:p w14:paraId="3A94E09A">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市文物局为严格执行《政府会计制度》，确保会计基础信息真实、完整、准确，从源头夯实财务管理基础，采取了规范会计核算流程、加强原始凭证管控及完善审核审批机制等举措，构建起全链条、闭环式管理体系。</w:t>
      </w:r>
    </w:p>
    <w:p w14:paraId="0032F118">
      <w:pPr>
        <w:shd w:val="clear"/>
        <w:adjustRightInd w:val="0"/>
        <w:snapToGrid w:val="0"/>
        <w:spacing w:line="360" w:lineRule="auto"/>
        <w:ind w:firstLine="640" w:firstLineChars="200"/>
        <w:outlineLvl w:val="1"/>
        <w:rPr>
          <w:rFonts w:hint="default" w:ascii="Times New Roman" w:hAnsi="Times New Roman" w:eastAsia="楷体_GB2312" w:cs="Times New Roman"/>
          <w:sz w:val="32"/>
          <w:szCs w:val="32"/>
          <w:highlight w:val="none"/>
        </w:rPr>
      </w:pPr>
      <w:bookmarkStart w:id="31" w:name="_Toc18360"/>
      <w:bookmarkStart w:id="32" w:name="_Toc21580"/>
      <w:bookmarkStart w:id="33" w:name="_Toc18377"/>
      <w:r>
        <w:rPr>
          <w:rFonts w:hint="default" w:ascii="Times New Roman" w:hAnsi="Times New Roman" w:eastAsia="楷体_GB2312" w:cs="Times New Roman"/>
          <w:sz w:val="32"/>
          <w:szCs w:val="32"/>
          <w:highlight w:val="none"/>
        </w:rPr>
        <w:t>（二）资产管理</w:t>
      </w:r>
      <w:bookmarkEnd w:id="31"/>
      <w:bookmarkEnd w:id="32"/>
      <w:bookmarkEnd w:id="33"/>
    </w:p>
    <w:p w14:paraId="18356AD0">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在资产管理领域，市文物局秉持“安全、规范、高效”原则，构建起科学完备的资产管理体系，全方位提升资产管理质效，为文物事业高质量发展筑牢坚实基础。文物局的资产保持安全完整，资产配置合理，资产使用和资产处理规范，有效反映了部门资产管理的整体水平。</w:t>
      </w:r>
    </w:p>
    <w:p w14:paraId="0E792173">
      <w:pPr>
        <w:shd w:val="clear"/>
        <w:adjustRightInd w:val="0"/>
        <w:snapToGrid w:val="0"/>
        <w:spacing w:line="360" w:lineRule="auto"/>
        <w:ind w:firstLine="640" w:firstLineChars="200"/>
        <w:outlineLvl w:val="1"/>
        <w:rPr>
          <w:rFonts w:hint="default" w:ascii="Times New Roman" w:hAnsi="Times New Roman" w:eastAsia="楷体_GB2312" w:cs="Times New Roman"/>
          <w:sz w:val="32"/>
          <w:szCs w:val="32"/>
          <w:highlight w:val="none"/>
        </w:rPr>
      </w:pPr>
      <w:bookmarkStart w:id="34" w:name="_Toc29878"/>
      <w:bookmarkStart w:id="35" w:name="_Toc5753"/>
      <w:bookmarkStart w:id="36" w:name="_Toc29563"/>
      <w:r>
        <w:rPr>
          <w:rFonts w:hint="default" w:ascii="Times New Roman" w:hAnsi="Times New Roman" w:eastAsia="楷体_GB2312" w:cs="Times New Roman"/>
          <w:sz w:val="32"/>
          <w:szCs w:val="32"/>
          <w:highlight w:val="none"/>
        </w:rPr>
        <w:t>（三）绩效管理</w:t>
      </w:r>
      <w:bookmarkEnd w:id="34"/>
      <w:bookmarkEnd w:id="35"/>
      <w:bookmarkEnd w:id="36"/>
    </w:p>
    <w:p w14:paraId="6C05059C">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市文物局对绩效管理予以高度重视，将绩效理念深度嵌入预算编制、执行及监督全过程，构建起事前、事中、事后有机衔接的绩效管理闭环体系，推动各项绩效管理工作落地见效。</w:t>
      </w:r>
    </w:p>
    <w:p w14:paraId="4B71E7F4">
      <w:pPr>
        <w:shd w:val="clear"/>
        <w:adjustRightInd w:val="0"/>
        <w:snapToGrid w:val="0"/>
        <w:spacing w:line="360" w:lineRule="auto"/>
        <w:ind w:firstLine="640" w:firstLineChars="200"/>
        <w:outlineLvl w:val="1"/>
        <w:rPr>
          <w:rFonts w:hint="default" w:ascii="Times New Roman" w:hAnsi="Times New Roman" w:eastAsia="楷体_GB2312" w:cs="Times New Roman"/>
          <w:sz w:val="32"/>
          <w:szCs w:val="32"/>
          <w:highlight w:val="none"/>
        </w:rPr>
      </w:pPr>
      <w:bookmarkStart w:id="37" w:name="_Toc1643"/>
      <w:bookmarkStart w:id="38" w:name="_Toc6714"/>
      <w:bookmarkStart w:id="39" w:name="_Toc1648"/>
      <w:r>
        <w:rPr>
          <w:rFonts w:hint="default" w:ascii="Times New Roman" w:hAnsi="Times New Roman" w:eastAsia="楷体_GB2312" w:cs="Times New Roman"/>
          <w:sz w:val="32"/>
          <w:szCs w:val="32"/>
          <w:highlight w:val="none"/>
        </w:rPr>
        <w:t>（四）结转结余率</w:t>
      </w:r>
      <w:bookmarkEnd w:id="37"/>
      <w:bookmarkEnd w:id="38"/>
      <w:bookmarkEnd w:id="39"/>
    </w:p>
    <w:p w14:paraId="3AD57832">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市文物局2024年预算结转结余90,729.60万元，其中基本经费结转结余7,331.31万元、项目经费结转结余83,398.29万元，结转结余率为38%，与上一年度基本持平。</w:t>
      </w:r>
    </w:p>
    <w:p w14:paraId="576240BB">
      <w:pPr>
        <w:shd w:val="clear"/>
        <w:adjustRightInd w:val="0"/>
        <w:snapToGrid w:val="0"/>
        <w:spacing w:line="360" w:lineRule="auto"/>
        <w:ind w:firstLine="640" w:firstLineChars="200"/>
        <w:outlineLvl w:val="1"/>
        <w:rPr>
          <w:rFonts w:hint="default" w:ascii="Times New Roman" w:hAnsi="Times New Roman" w:eastAsia="楷体_GB2312" w:cs="Times New Roman"/>
          <w:sz w:val="32"/>
          <w:szCs w:val="32"/>
          <w:highlight w:val="none"/>
        </w:rPr>
      </w:pPr>
      <w:bookmarkStart w:id="40" w:name="_Toc18203"/>
      <w:bookmarkStart w:id="41" w:name="_Toc31616"/>
      <w:bookmarkStart w:id="42" w:name="_Toc28165"/>
      <w:r>
        <w:rPr>
          <w:rFonts w:hint="default" w:ascii="Times New Roman" w:hAnsi="Times New Roman" w:eastAsia="楷体_GB2312" w:cs="Times New Roman"/>
          <w:sz w:val="32"/>
          <w:szCs w:val="32"/>
          <w:highlight w:val="none"/>
        </w:rPr>
        <w:t>（五）部门预决算差异率</w:t>
      </w:r>
      <w:bookmarkEnd w:id="40"/>
      <w:bookmarkEnd w:id="41"/>
      <w:bookmarkEnd w:id="42"/>
    </w:p>
    <w:p w14:paraId="5E576546">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2024年，市文物局年末决算数147,124.82万元，年初部门预算134,415.77万元，相较年初预算增加12,709.05万元，预决算差异率9.46%。主要原因是</w:t>
      </w:r>
      <w:r>
        <w:rPr>
          <w:rFonts w:hint="eastAsia" w:ascii="CESI仿宋-GB2312" w:hAnsi="CESI仿宋-GB2312" w:eastAsia="CESI仿宋-GB2312" w:cs="CESI仿宋-GB2312"/>
          <w:color w:val="000000"/>
          <w:kern w:val="2"/>
          <w:sz w:val="32"/>
          <w:szCs w:val="32"/>
          <w:highlight w:val="none"/>
          <w:lang w:val="en-US" w:eastAsia="zh-CN" w:bidi="ar-SA"/>
        </w:rPr>
        <w:t>根据年度重点工作</w:t>
      </w:r>
      <w:r>
        <w:rPr>
          <w:rFonts w:hint="default" w:ascii="CESI仿宋-GB2312" w:hAnsi="CESI仿宋-GB2312" w:eastAsia="CESI仿宋-GB2312" w:cs="CESI仿宋-GB2312"/>
          <w:color w:val="000000"/>
          <w:kern w:val="2"/>
          <w:sz w:val="32"/>
          <w:szCs w:val="32"/>
          <w:highlight w:val="none"/>
          <w:lang w:val="en-US" w:eastAsia="zh-CN" w:bidi="ar-SA"/>
        </w:rPr>
        <w:t>任务</w:t>
      </w:r>
      <w:r>
        <w:rPr>
          <w:rFonts w:hint="eastAsia" w:ascii="CESI仿宋-GB2312" w:hAnsi="CESI仿宋-GB2312" w:eastAsia="CESI仿宋-GB2312" w:cs="CESI仿宋-GB2312"/>
          <w:color w:val="000000"/>
          <w:kern w:val="2"/>
          <w:sz w:val="32"/>
          <w:szCs w:val="32"/>
          <w:highlight w:val="none"/>
          <w:lang w:val="en-US" w:eastAsia="zh-CN" w:bidi="ar-SA"/>
        </w:rPr>
        <w:t>进展，安排</w:t>
      </w:r>
      <w:r>
        <w:rPr>
          <w:rFonts w:hint="default" w:ascii="CESI仿宋-GB2312" w:hAnsi="CESI仿宋-GB2312" w:eastAsia="CESI仿宋-GB2312" w:cs="CESI仿宋-GB2312"/>
          <w:color w:val="000000"/>
          <w:kern w:val="2"/>
          <w:sz w:val="32"/>
          <w:szCs w:val="32"/>
          <w:highlight w:val="none"/>
          <w:lang w:val="en-US" w:eastAsia="zh-CN" w:bidi="ar-SA"/>
        </w:rPr>
        <w:t>大运河博物馆</w:t>
      </w:r>
      <w:r>
        <w:rPr>
          <w:rFonts w:hint="eastAsia" w:ascii="CESI仿宋-GB2312" w:hAnsi="CESI仿宋-GB2312" w:eastAsia="CESI仿宋-GB2312" w:cs="CESI仿宋-GB2312"/>
          <w:color w:val="000000"/>
          <w:kern w:val="2"/>
          <w:sz w:val="32"/>
          <w:szCs w:val="32"/>
          <w:highlight w:val="none"/>
          <w:lang w:val="en-US" w:eastAsia="zh-CN" w:bidi="ar-SA"/>
        </w:rPr>
        <w:t>等重点项目</w:t>
      </w:r>
      <w:r>
        <w:rPr>
          <w:rFonts w:hint="default" w:ascii="CESI仿宋-GB2312" w:hAnsi="CESI仿宋-GB2312" w:eastAsia="CESI仿宋-GB2312" w:cs="CESI仿宋-GB2312"/>
          <w:color w:val="000000"/>
          <w:kern w:val="2"/>
          <w:sz w:val="32"/>
          <w:szCs w:val="32"/>
          <w:highlight w:val="none"/>
          <w:lang w:val="en-US" w:eastAsia="zh-CN" w:bidi="ar-SA"/>
        </w:rPr>
        <w:t>经费</w:t>
      </w:r>
      <w:r>
        <w:rPr>
          <w:rFonts w:hint="eastAsia" w:ascii="CESI仿宋-GB2312" w:hAnsi="CESI仿宋-GB2312" w:eastAsia="CESI仿宋-GB2312" w:cs="CESI仿宋-GB2312"/>
          <w:color w:val="000000"/>
          <w:kern w:val="2"/>
          <w:sz w:val="32"/>
          <w:szCs w:val="32"/>
          <w:highlight w:val="none"/>
          <w:lang w:val="en-US" w:eastAsia="zh-CN" w:bidi="ar-SA"/>
        </w:rPr>
        <w:t>支出</w:t>
      </w:r>
      <w:r>
        <w:rPr>
          <w:rFonts w:hint="default" w:ascii="CESI仿宋-GB2312" w:hAnsi="CESI仿宋-GB2312" w:eastAsia="CESI仿宋-GB2312" w:cs="CESI仿宋-GB2312"/>
          <w:color w:val="000000"/>
          <w:kern w:val="2"/>
          <w:sz w:val="32"/>
          <w:szCs w:val="32"/>
          <w:highlight w:val="none"/>
          <w:lang w:val="en-US" w:eastAsia="zh-CN" w:bidi="ar-SA"/>
        </w:rPr>
        <w:t>。</w:t>
      </w:r>
    </w:p>
    <w:p w14:paraId="515EA595">
      <w:pPr>
        <w:shd w:val="clear"/>
        <w:adjustRightInd w:val="0"/>
        <w:snapToGrid w:val="0"/>
        <w:spacing w:line="360" w:lineRule="auto"/>
        <w:ind w:firstLine="640" w:firstLineChars="200"/>
        <w:outlineLvl w:val="0"/>
        <w:rPr>
          <w:rFonts w:hint="default" w:ascii="Times New Roman" w:hAnsi="Times New Roman" w:eastAsia="黑体" w:cs="Times New Roman"/>
          <w:color w:val="000000"/>
          <w:kern w:val="0"/>
          <w:sz w:val="32"/>
          <w:szCs w:val="32"/>
          <w:highlight w:val="none"/>
        </w:rPr>
      </w:pPr>
      <w:bookmarkStart w:id="43" w:name="_Toc27740"/>
      <w:bookmarkStart w:id="44" w:name="_Toc4893"/>
      <w:bookmarkStart w:id="45" w:name="_Toc688"/>
      <w:r>
        <w:rPr>
          <w:rFonts w:hint="default" w:ascii="Times New Roman" w:hAnsi="Times New Roman" w:eastAsia="黑体" w:cs="Times New Roman"/>
          <w:color w:val="000000"/>
          <w:kern w:val="0"/>
          <w:sz w:val="32"/>
          <w:szCs w:val="32"/>
          <w:highlight w:val="none"/>
        </w:rPr>
        <w:t>五、总体评价结论</w:t>
      </w:r>
      <w:bookmarkEnd w:id="43"/>
      <w:bookmarkEnd w:id="44"/>
      <w:bookmarkEnd w:id="45"/>
    </w:p>
    <w:p w14:paraId="09B7ACF3">
      <w:pPr>
        <w:shd w:val="clear"/>
        <w:adjustRightInd w:val="0"/>
        <w:snapToGrid w:val="0"/>
        <w:spacing w:line="360" w:lineRule="auto"/>
        <w:ind w:firstLine="640" w:firstLineChars="200"/>
        <w:outlineLvl w:val="1"/>
        <w:rPr>
          <w:rFonts w:hint="default" w:ascii="Times New Roman" w:hAnsi="Times New Roman" w:eastAsia="楷体_GB2312" w:cs="Times New Roman"/>
          <w:sz w:val="32"/>
          <w:szCs w:val="32"/>
          <w:highlight w:val="none"/>
        </w:rPr>
      </w:pPr>
      <w:bookmarkStart w:id="46" w:name="_Toc30294"/>
      <w:bookmarkStart w:id="47" w:name="_Toc20162"/>
      <w:bookmarkStart w:id="48" w:name="_Toc23113"/>
      <w:r>
        <w:rPr>
          <w:rFonts w:hint="default" w:ascii="Times New Roman" w:hAnsi="Times New Roman" w:eastAsia="楷体_GB2312" w:cs="Times New Roman"/>
          <w:sz w:val="32"/>
          <w:szCs w:val="32"/>
          <w:highlight w:val="none"/>
        </w:rPr>
        <w:t>（一）评价得分情况</w:t>
      </w:r>
      <w:bookmarkEnd w:id="46"/>
      <w:bookmarkEnd w:id="47"/>
      <w:bookmarkEnd w:id="48"/>
    </w:p>
    <w:p w14:paraId="6AAE1DC3">
      <w:pPr>
        <w:pStyle w:val="8"/>
        <w:shd w:val="clear"/>
        <w:adjustRightInd w:val="0"/>
        <w:snapToGrid w:val="0"/>
        <w:spacing w:line="360" w:lineRule="auto"/>
        <w:ind w:firstLine="640" w:firstLineChars="200"/>
        <w:outlineLvl w:val="2"/>
        <w:rPr>
          <w:rFonts w:hint="default" w:ascii="CESI仿宋-GB2312" w:hAnsi="CESI仿宋-GB2312" w:eastAsia="CESI仿宋-GB2312" w:cs="CESI仿宋-GB2312"/>
          <w:color w:val="000000"/>
          <w:kern w:val="2"/>
          <w:sz w:val="32"/>
          <w:szCs w:val="32"/>
          <w:highlight w:val="none"/>
          <w:lang w:val="en-US" w:eastAsia="zh-CN" w:bidi="ar-SA"/>
        </w:rPr>
      </w:pPr>
      <w:r>
        <w:rPr>
          <w:rFonts w:hint="default" w:ascii="CESI仿宋-GB2312" w:hAnsi="CESI仿宋-GB2312" w:eastAsia="CESI仿宋-GB2312" w:cs="CESI仿宋-GB2312"/>
          <w:color w:val="000000"/>
          <w:kern w:val="2"/>
          <w:sz w:val="32"/>
          <w:szCs w:val="32"/>
          <w:highlight w:val="none"/>
          <w:lang w:val="en-US" w:eastAsia="zh-CN" w:bidi="ar-SA"/>
        </w:rPr>
        <w:t>通过全面、客观的分析，本次部门整体绩效评价得分为89.60分，综合评价等级为“良”。具体评分见《北京市文物2024年部门整体绩效评价指标体系评分表》。</w:t>
      </w:r>
    </w:p>
    <w:p w14:paraId="6B6BA739">
      <w:pPr>
        <w:numPr>
          <w:ilvl w:val="0"/>
          <w:numId w:val="1"/>
        </w:numPr>
        <w:shd w:val="clear"/>
        <w:adjustRightInd w:val="0"/>
        <w:snapToGrid w:val="0"/>
        <w:spacing w:line="360" w:lineRule="auto"/>
        <w:ind w:firstLine="640" w:firstLineChars="200"/>
        <w:outlineLvl w:val="1"/>
        <w:rPr>
          <w:rFonts w:hint="default" w:ascii="Times New Roman" w:hAnsi="Times New Roman" w:eastAsia="楷体_GB2312" w:cs="Times New Roman"/>
          <w:sz w:val="32"/>
          <w:szCs w:val="32"/>
          <w:highlight w:val="none"/>
        </w:rPr>
      </w:pPr>
      <w:bookmarkStart w:id="49" w:name="_Toc31073"/>
      <w:bookmarkStart w:id="50" w:name="_Toc22850"/>
      <w:bookmarkStart w:id="51" w:name="_Toc27317"/>
      <w:r>
        <w:rPr>
          <w:rFonts w:hint="default" w:ascii="Times New Roman" w:hAnsi="Times New Roman" w:eastAsia="楷体_GB2312" w:cs="Times New Roman"/>
          <w:sz w:val="32"/>
          <w:szCs w:val="32"/>
          <w:highlight w:val="none"/>
        </w:rPr>
        <w:t>存在的问题及原因分析</w:t>
      </w:r>
      <w:bookmarkEnd w:id="49"/>
      <w:bookmarkEnd w:id="50"/>
      <w:bookmarkEnd w:id="51"/>
    </w:p>
    <w:p w14:paraId="4ABF82E8">
      <w:pPr>
        <w:shd w:val="clear"/>
        <w:adjustRightInd w:val="0"/>
        <w:snapToGrid w:val="0"/>
        <w:spacing w:line="360" w:lineRule="auto"/>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lang w:val="en-US" w:eastAsia="zh-CN"/>
        </w:rPr>
        <w:t>部门整体评价反映出项目在前期论证、过程管理和绩效资料收集等方面仍存在进一步提升的空间。具体包括：前期论证可进一步深化，以更全面评估外部实施条件；资金与合同管理流程有待持续规范和完善；绩效成果材料的系统性和完整性需加强，满意度调查覆盖范围可进一步扩大，以更好支撑绩效评价工作。</w:t>
      </w:r>
    </w:p>
    <w:p w14:paraId="214DF1A3">
      <w:pPr>
        <w:shd w:val="clear"/>
        <w:adjustRightInd w:val="0"/>
        <w:snapToGrid w:val="0"/>
        <w:spacing w:line="360" w:lineRule="auto"/>
        <w:ind w:firstLine="640" w:firstLineChars="200"/>
        <w:outlineLvl w:val="0"/>
        <w:rPr>
          <w:rFonts w:hint="default" w:ascii="Times New Roman" w:hAnsi="Times New Roman" w:eastAsia="黑体" w:cs="Times New Roman"/>
          <w:color w:val="000000"/>
          <w:kern w:val="0"/>
          <w:sz w:val="32"/>
          <w:szCs w:val="32"/>
          <w:highlight w:val="none"/>
        </w:rPr>
      </w:pPr>
      <w:bookmarkStart w:id="52" w:name="_Toc1754"/>
      <w:bookmarkStart w:id="53" w:name="_Toc6074"/>
      <w:bookmarkStart w:id="54" w:name="_Toc8908"/>
      <w:r>
        <w:rPr>
          <w:rFonts w:hint="default" w:ascii="Times New Roman" w:hAnsi="Times New Roman" w:eastAsia="黑体" w:cs="Times New Roman"/>
          <w:color w:val="000000"/>
          <w:kern w:val="0"/>
          <w:sz w:val="32"/>
          <w:szCs w:val="32"/>
          <w:highlight w:val="none"/>
        </w:rPr>
        <w:t>六、措施建议</w:t>
      </w:r>
      <w:bookmarkEnd w:id="52"/>
      <w:bookmarkEnd w:id="53"/>
      <w:bookmarkEnd w:id="54"/>
    </w:p>
    <w:p w14:paraId="3C73CFEE">
      <w:pPr>
        <w:shd w:val="clear"/>
        <w:adjustRightInd w:val="0"/>
        <w:snapToGrid w:val="0"/>
        <w:spacing w:line="360" w:lineRule="auto"/>
        <w:ind w:firstLine="640" w:firstLineChars="200"/>
        <w:outlineLvl w:val="1"/>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为不断提升项目管理水平和资金使用效益，</w:t>
      </w:r>
      <w:r>
        <w:rPr>
          <w:rFonts w:hint="eastAsia" w:eastAsia="仿宋_GB2312" w:cs="Times New Roman"/>
          <w:sz w:val="32"/>
          <w:szCs w:val="32"/>
          <w:highlight w:val="none"/>
          <w:lang w:eastAsia="zh-CN"/>
        </w:rPr>
        <w:t>下一步将</w:t>
      </w:r>
      <w:r>
        <w:rPr>
          <w:rFonts w:hint="default" w:ascii="Times New Roman" w:hAnsi="Times New Roman" w:eastAsia="仿宋_GB2312" w:cs="Times New Roman"/>
          <w:sz w:val="32"/>
          <w:szCs w:val="32"/>
          <w:highlight w:val="none"/>
        </w:rPr>
        <w:t>从以下几方面加以完善：一是加强项目前期论证和顶层设计，提高项目规划的科学性和可行性；二是进一步规范资金使用和合同管理，强化全过程监督，提升管理效率；三是健全绩效资料收集与分析</w:t>
      </w:r>
      <w:bookmarkStart w:id="55" w:name="_GoBack"/>
      <w:bookmarkEnd w:id="55"/>
      <w:r>
        <w:rPr>
          <w:rFonts w:hint="default" w:ascii="Times New Roman" w:hAnsi="Times New Roman" w:eastAsia="仿宋_GB2312" w:cs="Times New Roman"/>
          <w:sz w:val="32"/>
          <w:szCs w:val="32"/>
          <w:highlight w:val="none"/>
        </w:rPr>
        <w:t>机制，扩大满意度调查样本量，增强评价全面性和代表性，推动公共服务持续优化。</w:t>
      </w:r>
    </w:p>
    <w:p w14:paraId="1A1175FB">
      <w:pPr>
        <w:shd w:val="clear"/>
        <w:adjustRightInd w:val="0"/>
        <w:snapToGrid w:val="0"/>
        <w:spacing w:line="360" w:lineRule="auto"/>
        <w:ind w:firstLine="640" w:firstLineChars="200"/>
        <w:rPr>
          <w:rFonts w:hint="default" w:ascii="Times New Roman" w:hAnsi="Times New Roman" w:eastAsia="仿宋_GB2312" w:cs="Times New Roman"/>
          <w:kern w:val="0"/>
          <w:sz w:val="32"/>
          <w:szCs w:val="32"/>
          <w:highlight w:val="none"/>
        </w:rPr>
      </w:pPr>
    </w:p>
    <w:p w14:paraId="10017397">
      <w:pPr>
        <w:shd w:val="clear"/>
        <w:adjustRightInd w:val="0"/>
        <w:snapToGrid w:val="0"/>
        <w:spacing w:line="360" w:lineRule="auto"/>
        <w:ind w:firstLine="640" w:firstLineChars="200"/>
        <w:rPr>
          <w:rFonts w:hint="default" w:ascii="Times New Roman" w:hAnsi="Times New Roman" w:eastAsia="仿宋_GB2312" w:cs="Times New Roman"/>
          <w:kern w:val="0"/>
          <w:sz w:val="32"/>
          <w:szCs w:val="32"/>
          <w:highlight w:val="none"/>
        </w:rPr>
        <w:sectPr>
          <w:footerReference r:id="rId3" w:type="default"/>
          <w:pgSz w:w="11906" w:h="16838"/>
          <w:pgMar w:top="1440" w:right="1800" w:bottom="1440" w:left="1800" w:header="851" w:footer="992" w:gutter="0"/>
          <w:pgNumType w:start="1"/>
          <w:cols w:space="425" w:num="1"/>
          <w:docGrid w:type="lines" w:linePitch="312" w:charSpace="0"/>
        </w:sectPr>
      </w:pPr>
    </w:p>
    <w:p w14:paraId="0241E347">
      <w:pPr>
        <w:pStyle w:val="2"/>
        <w:shd w:val="clear"/>
        <w:outlineLvl w:val="0"/>
        <w:rPr>
          <w:rFonts w:hint="default" w:ascii="Times New Roman" w:hAnsi="Times New Roman" w:eastAsia="仿宋_GB2312" w:cs="Times New Roman"/>
          <w:sz w:val="32"/>
          <w:szCs w:val="32"/>
          <w:highlight w:val="none"/>
        </w:rPr>
      </w:pPr>
    </w:p>
    <w:p w14:paraId="1B1F5E4D">
      <w:pPr>
        <w:shd w:val="clear"/>
        <w:adjustRightInd w:val="0"/>
        <w:snapToGrid w:val="0"/>
        <w:jc w:val="center"/>
        <w:rPr>
          <w:rFonts w:hint="eastAsia" w:ascii="方正小标宋_GBK" w:hAnsi="方正小标宋_GBK" w:eastAsia="方正小标宋_GBK" w:cs="方正小标宋_GBK"/>
          <w:b w:val="0"/>
          <w:bCs w:val="0"/>
          <w:kern w:val="0"/>
          <w:sz w:val="32"/>
          <w:szCs w:val="32"/>
          <w:highlight w:val="none"/>
        </w:rPr>
      </w:pPr>
      <w:r>
        <w:rPr>
          <w:rFonts w:hint="eastAsia" w:ascii="方正小标宋_GBK" w:hAnsi="方正小标宋_GBK" w:eastAsia="方正小标宋_GBK" w:cs="方正小标宋_GBK"/>
          <w:b w:val="0"/>
          <w:bCs w:val="0"/>
          <w:kern w:val="0"/>
          <w:sz w:val="32"/>
          <w:szCs w:val="32"/>
          <w:highlight w:val="none"/>
        </w:rPr>
        <w:t>北京市文物局2024年部门整体绩效评价指标体系评分表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37"/>
        <w:gridCol w:w="944"/>
        <w:gridCol w:w="1189"/>
        <w:gridCol w:w="2137"/>
        <w:gridCol w:w="1883"/>
        <w:gridCol w:w="711"/>
        <w:gridCol w:w="621"/>
      </w:tblGrid>
      <w:tr w14:paraId="0700C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restart"/>
            <w:shd w:val="clear" w:color="auto" w:fill="auto"/>
            <w:vAlign w:val="center"/>
          </w:tcPr>
          <w:p w14:paraId="4C46311F">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一级指标</w:t>
            </w:r>
          </w:p>
        </w:tc>
        <w:tc>
          <w:tcPr>
            <w:tcW w:w="0" w:type="auto"/>
            <w:vMerge w:val="restart"/>
            <w:shd w:val="clear" w:color="auto" w:fill="auto"/>
            <w:vAlign w:val="center"/>
          </w:tcPr>
          <w:p w14:paraId="6EDBABBB">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二级指标</w:t>
            </w:r>
          </w:p>
        </w:tc>
        <w:tc>
          <w:tcPr>
            <w:tcW w:w="0" w:type="auto"/>
            <w:vMerge w:val="restart"/>
            <w:shd w:val="clear" w:color="auto" w:fill="auto"/>
            <w:vAlign w:val="center"/>
          </w:tcPr>
          <w:p w14:paraId="25E21B0C">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预算数（万元）</w:t>
            </w:r>
          </w:p>
        </w:tc>
        <w:tc>
          <w:tcPr>
            <w:tcW w:w="0" w:type="auto"/>
            <w:vMerge w:val="restart"/>
            <w:shd w:val="clear" w:color="auto" w:fill="auto"/>
            <w:vAlign w:val="center"/>
          </w:tcPr>
          <w:p w14:paraId="1CAB9106">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执行数（万元）</w:t>
            </w:r>
          </w:p>
        </w:tc>
        <w:tc>
          <w:tcPr>
            <w:tcW w:w="0" w:type="auto"/>
            <w:vMerge w:val="restart"/>
            <w:shd w:val="clear" w:color="auto" w:fill="auto"/>
            <w:vAlign w:val="center"/>
          </w:tcPr>
          <w:p w14:paraId="51E49771">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预算执行率</w:t>
            </w:r>
          </w:p>
        </w:tc>
        <w:tc>
          <w:tcPr>
            <w:tcW w:w="0" w:type="auto"/>
            <w:vMerge w:val="restart"/>
            <w:shd w:val="clear" w:color="auto" w:fill="auto"/>
            <w:vAlign w:val="center"/>
          </w:tcPr>
          <w:p w14:paraId="24F22F47">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分值</w:t>
            </w:r>
          </w:p>
        </w:tc>
        <w:tc>
          <w:tcPr>
            <w:tcW w:w="0" w:type="auto"/>
            <w:vMerge w:val="restart"/>
            <w:shd w:val="clear" w:color="auto" w:fill="auto"/>
            <w:vAlign w:val="center"/>
          </w:tcPr>
          <w:p w14:paraId="0467A746">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得分</w:t>
            </w:r>
          </w:p>
        </w:tc>
      </w:tr>
      <w:tr w14:paraId="16D9A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303625D8">
            <w:pPr>
              <w:shd w:val="clear"/>
              <w:jc w:val="center"/>
              <w:rPr>
                <w:rFonts w:hint="default" w:ascii="Times New Roman" w:hAnsi="Times New Roman" w:eastAsia="宋体" w:cs="Times New Roman"/>
                <w:b/>
                <w:bCs/>
                <w:i w:val="0"/>
                <w:iCs w:val="0"/>
                <w:color w:val="auto"/>
                <w:sz w:val="18"/>
                <w:szCs w:val="18"/>
                <w:highlight w:val="none"/>
                <w:u w:val="none"/>
              </w:rPr>
            </w:pPr>
          </w:p>
        </w:tc>
        <w:tc>
          <w:tcPr>
            <w:tcW w:w="0" w:type="auto"/>
            <w:vMerge w:val="continue"/>
            <w:shd w:val="clear" w:color="auto" w:fill="auto"/>
            <w:vAlign w:val="center"/>
          </w:tcPr>
          <w:p w14:paraId="36E3FF01">
            <w:pPr>
              <w:shd w:val="clear"/>
              <w:jc w:val="center"/>
              <w:rPr>
                <w:rFonts w:hint="default" w:ascii="Times New Roman" w:hAnsi="Times New Roman" w:eastAsia="宋体" w:cs="Times New Roman"/>
                <w:b/>
                <w:bCs/>
                <w:i w:val="0"/>
                <w:iCs w:val="0"/>
                <w:color w:val="auto"/>
                <w:sz w:val="18"/>
                <w:szCs w:val="18"/>
                <w:highlight w:val="none"/>
                <w:u w:val="none"/>
              </w:rPr>
            </w:pPr>
          </w:p>
        </w:tc>
        <w:tc>
          <w:tcPr>
            <w:tcW w:w="0" w:type="auto"/>
            <w:vMerge w:val="continue"/>
            <w:shd w:val="clear" w:color="auto" w:fill="auto"/>
            <w:vAlign w:val="center"/>
          </w:tcPr>
          <w:p w14:paraId="6C1E674D">
            <w:pPr>
              <w:shd w:val="clear"/>
              <w:jc w:val="center"/>
              <w:rPr>
                <w:rFonts w:hint="default" w:ascii="Times New Roman" w:hAnsi="Times New Roman" w:eastAsia="宋体" w:cs="Times New Roman"/>
                <w:b/>
                <w:bCs/>
                <w:i w:val="0"/>
                <w:iCs w:val="0"/>
                <w:color w:val="auto"/>
                <w:sz w:val="18"/>
                <w:szCs w:val="18"/>
                <w:highlight w:val="none"/>
                <w:u w:val="none"/>
              </w:rPr>
            </w:pPr>
          </w:p>
        </w:tc>
        <w:tc>
          <w:tcPr>
            <w:tcW w:w="0" w:type="auto"/>
            <w:vMerge w:val="continue"/>
            <w:shd w:val="clear" w:color="auto" w:fill="auto"/>
            <w:vAlign w:val="center"/>
          </w:tcPr>
          <w:p w14:paraId="5CC6F9A0">
            <w:pPr>
              <w:shd w:val="clear"/>
              <w:jc w:val="center"/>
              <w:rPr>
                <w:rFonts w:hint="default" w:ascii="Times New Roman" w:hAnsi="Times New Roman" w:eastAsia="宋体" w:cs="Times New Roman"/>
                <w:b/>
                <w:bCs/>
                <w:i w:val="0"/>
                <w:iCs w:val="0"/>
                <w:color w:val="auto"/>
                <w:sz w:val="18"/>
                <w:szCs w:val="18"/>
                <w:highlight w:val="none"/>
                <w:u w:val="none"/>
              </w:rPr>
            </w:pPr>
          </w:p>
        </w:tc>
        <w:tc>
          <w:tcPr>
            <w:tcW w:w="0" w:type="auto"/>
            <w:vMerge w:val="continue"/>
            <w:shd w:val="clear" w:color="auto" w:fill="auto"/>
            <w:vAlign w:val="center"/>
          </w:tcPr>
          <w:p w14:paraId="5DABAC05">
            <w:pPr>
              <w:shd w:val="clear"/>
              <w:jc w:val="center"/>
              <w:rPr>
                <w:rFonts w:hint="default" w:ascii="Times New Roman" w:hAnsi="Times New Roman" w:eastAsia="宋体" w:cs="Times New Roman"/>
                <w:b/>
                <w:bCs/>
                <w:i w:val="0"/>
                <w:iCs w:val="0"/>
                <w:color w:val="auto"/>
                <w:sz w:val="18"/>
                <w:szCs w:val="18"/>
                <w:highlight w:val="none"/>
                <w:u w:val="none"/>
              </w:rPr>
            </w:pPr>
          </w:p>
        </w:tc>
        <w:tc>
          <w:tcPr>
            <w:tcW w:w="0" w:type="auto"/>
            <w:vMerge w:val="continue"/>
            <w:shd w:val="clear" w:color="auto" w:fill="auto"/>
            <w:vAlign w:val="center"/>
          </w:tcPr>
          <w:p w14:paraId="61730ED9">
            <w:pPr>
              <w:shd w:val="clear"/>
              <w:jc w:val="center"/>
              <w:rPr>
                <w:rFonts w:hint="default" w:ascii="Times New Roman" w:hAnsi="Times New Roman" w:eastAsia="宋体" w:cs="Times New Roman"/>
                <w:b/>
                <w:bCs/>
                <w:i w:val="0"/>
                <w:iCs w:val="0"/>
                <w:color w:val="auto"/>
                <w:sz w:val="18"/>
                <w:szCs w:val="18"/>
                <w:highlight w:val="none"/>
                <w:u w:val="none"/>
              </w:rPr>
            </w:pPr>
          </w:p>
        </w:tc>
        <w:tc>
          <w:tcPr>
            <w:tcW w:w="0" w:type="auto"/>
            <w:vMerge w:val="continue"/>
            <w:shd w:val="clear" w:color="auto" w:fill="auto"/>
            <w:vAlign w:val="center"/>
          </w:tcPr>
          <w:p w14:paraId="234AE283">
            <w:pPr>
              <w:shd w:val="clear"/>
              <w:jc w:val="center"/>
              <w:rPr>
                <w:rFonts w:hint="default" w:ascii="Times New Roman" w:hAnsi="Times New Roman" w:eastAsia="宋体" w:cs="Times New Roman"/>
                <w:b/>
                <w:bCs/>
                <w:i w:val="0"/>
                <w:iCs w:val="0"/>
                <w:color w:val="auto"/>
                <w:sz w:val="18"/>
                <w:szCs w:val="18"/>
                <w:highlight w:val="none"/>
                <w:u w:val="none"/>
              </w:rPr>
            </w:pPr>
          </w:p>
        </w:tc>
      </w:tr>
      <w:tr w14:paraId="43DB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0" w:type="auto"/>
            <w:vMerge w:val="restart"/>
            <w:shd w:val="clear" w:color="auto" w:fill="auto"/>
            <w:vAlign w:val="center"/>
          </w:tcPr>
          <w:p w14:paraId="167BC31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当年预算执行情况（20分）</w:t>
            </w:r>
          </w:p>
        </w:tc>
        <w:tc>
          <w:tcPr>
            <w:tcW w:w="0" w:type="auto"/>
            <w:shd w:val="clear" w:color="auto" w:fill="auto"/>
            <w:vAlign w:val="center"/>
          </w:tcPr>
          <w:p w14:paraId="481727E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资金总体</w:t>
            </w:r>
          </w:p>
        </w:tc>
        <w:tc>
          <w:tcPr>
            <w:tcW w:w="0" w:type="auto"/>
            <w:shd w:val="clear" w:color="auto" w:fill="auto"/>
            <w:noWrap/>
            <w:vAlign w:val="center"/>
          </w:tcPr>
          <w:p w14:paraId="6BF880AB">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237,567.81</w:t>
            </w:r>
          </w:p>
        </w:tc>
        <w:tc>
          <w:tcPr>
            <w:tcW w:w="0" w:type="auto"/>
            <w:shd w:val="clear" w:color="auto" w:fill="auto"/>
            <w:noWrap/>
            <w:vAlign w:val="center"/>
          </w:tcPr>
          <w:p w14:paraId="52379BC9">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147,124.82</w:t>
            </w:r>
          </w:p>
        </w:tc>
        <w:tc>
          <w:tcPr>
            <w:tcW w:w="0" w:type="auto"/>
            <w:shd w:val="clear" w:color="auto" w:fill="auto"/>
            <w:vAlign w:val="center"/>
          </w:tcPr>
          <w:p w14:paraId="48CD91E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61.93%</w:t>
            </w:r>
          </w:p>
        </w:tc>
        <w:tc>
          <w:tcPr>
            <w:tcW w:w="0" w:type="auto"/>
            <w:vMerge w:val="restart"/>
            <w:shd w:val="clear" w:color="auto" w:fill="auto"/>
            <w:vAlign w:val="center"/>
          </w:tcPr>
          <w:p w14:paraId="1F4711F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20.00</w:t>
            </w:r>
          </w:p>
        </w:tc>
        <w:tc>
          <w:tcPr>
            <w:tcW w:w="0" w:type="auto"/>
            <w:vMerge w:val="restart"/>
            <w:shd w:val="clear" w:color="auto" w:fill="auto"/>
            <w:vAlign w:val="center"/>
          </w:tcPr>
          <w:p w14:paraId="35420A0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12.39</w:t>
            </w:r>
          </w:p>
        </w:tc>
      </w:tr>
      <w:tr w14:paraId="60296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2" w:hRule="atLeast"/>
        </w:trPr>
        <w:tc>
          <w:tcPr>
            <w:tcW w:w="0" w:type="auto"/>
            <w:vMerge w:val="continue"/>
            <w:shd w:val="clear" w:color="auto" w:fill="auto"/>
            <w:vAlign w:val="center"/>
          </w:tcPr>
          <w:p w14:paraId="67882E8E">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64118D1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基本支出</w:t>
            </w:r>
          </w:p>
        </w:tc>
        <w:tc>
          <w:tcPr>
            <w:tcW w:w="0" w:type="auto"/>
            <w:shd w:val="clear" w:color="auto" w:fill="auto"/>
            <w:noWrap/>
            <w:vAlign w:val="center"/>
          </w:tcPr>
          <w:p w14:paraId="00965E13">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56,931.57</w:t>
            </w:r>
          </w:p>
        </w:tc>
        <w:tc>
          <w:tcPr>
            <w:tcW w:w="0" w:type="auto"/>
            <w:shd w:val="clear" w:color="auto" w:fill="auto"/>
            <w:noWrap/>
            <w:vAlign w:val="center"/>
          </w:tcPr>
          <w:p w14:paraId="7894F465">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48,954.37</w:t>
            </w:r>
          </w:p>
        </w:tc>
        <w:tc>
          <w:tcPr>
            <w:tcW w:w="0" w:type="auto"/>
            <w:vMerge w:val="restart"/>
            <w:shd w:val="clear" w:color="auto" w:fill="auto"/>
            <w:vAlign w:val="center"/>
          </w:tcPr>
          <w:p w14:paraId="7B14737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0" w:type="auto"/>
            <w:vMerge w:val="continue"/>
            <w:shd w:val="clear" w:color="auto" w:fill="auto"/>
            <w:vAlign w:val="center"/>
          </w:tcPr>
          <w:p w14:paraId="11F4641D">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7A7A78B6">
            <w:pPr>
              <w:shd w:val="clear"/>
              <w:jc w:val="center"/>
              <w:rPr>
                <w:rFonts w:hint="default" w:ascii="Times New Roman" w:hAnsi="Times New Roman" w:eastAsia="宋体" w:cs="Times New Roman"/>
                <w:i w:val="0"/>
                <w:iCs w:val="0"/>
                <w:color w:val="auto"/>
                <w:sz w:val="18"/>
                <w:szCs w:val="18"/>
                <w:highlight w:val="none"/>
                <w:u w:val="none"/>
              </w:rPr>
            </w:pPr>
          </w:p>
        </w:tc>
      </w:tr>
      <w:tr w14:paraId="09791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0" w:type="auto"/>
            <w:vMerge w:val="continue"/>
            <w:shd w:val="clear" w:color="auto" w:fill="auto"/>
            <w:vAlign w:val="center"/>
          </w:tcPr>
          <w:p w14:paraId="0EA49C1C">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4D36E8EB">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项目支出</w:t>
            </w:r>
          </w:p>
        </w:tc>
        <w:tc>
          <w:tcPr>
            <w:tcW w:w="0" w:type="auto"/>
            <w:shd w:val="clear" w:color="auto" w:fill="auto"/>
            <w:noWrap/>
            <w:vAlign w:val="center"/>
          </w:tcPr>
          <w:p w14:paraId="22AA5354">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180,636.25</w:t>
            </w:r>
          </w:p>
        </w:tc>
        <w:tc>
          <w:tcPr>
            <w:tcW w:w="0" w:type="auto"/>
            <w:shd w:val="clear" w:color="auto" w:fill="auto"/>
            <w:noWrap/>
            <w:vAlign w:val="center"/>
          </w:tcPr>
          <w:p w14:paraId="6335C68A">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98,170.44</w:t>
            </w:r>
          </w:p>
        </w:tc>
        <w:tc>
          <w:tcPr>
            <w:tcW w:w="0" w:type="auto"/>
            <w:vMerge w:val="continue"/>
            <w:shd w:val="clear" w:color="auto" w:fill="auto"/>
            <w:vAlign w:val="center"/>
          </w:tcPr>
          <w:p w14:paraId="0A9F3BBB">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0BAE6AC0">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5FA7E9A2">
            <w:pPr>
              <w:shd w:val="clear"/>
              <w:jc w:val="center"/>
              <w:rPr>
                <w:rFonts w:hint="default" w:ascii="Times New Roman" w:hAnsi="Times New Roman" w:eastAsia="宋体" w:cs="Times New Roman"/>
                <w:i w:val="0"/>
                <w:iCs w:val="0"/>
                <w:color w:val="auto"/>
                <w:sz w:val="18"/>
                <w:szCs w:val="18"/>
                <w:highlight w:val="none"/>
                <w:u w:val="none"/>
              </w:rPr>
            </w:pPr>
          </w:p>
        </w:tc>
      </w:tr>
      <w:tr w14:paraId="245E7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49C67089">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39372E7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其他</w:t>
            </w:r>
          </w:p>
        </w:tc>
        <w:tc>
          <w:tcPr>
            <w:tcW w:w="0" w:type="auto"/>
            <w:shd w:val="clear" w:color="auto" w:fill="auto"/>
            <w:vAlign w:val="bottom"/>
          </w:tcPr>
          <w:p w14:paraId="390A8E22">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bottom"/>
          </w:tcPr>
          <w:p w14:paraId="15D5D6B5">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8591303">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E335A7D">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4038C29">
            <w:pPr>
              <w:shd w:val="clear"/>
              <w:jc w:val="center"/>
              <w:rPr>
                <w:rFonts w:hint="default" w:ascii="Times New Roman" w:hAnsi="Times New Roman" w:eastAsia="宋体" w:cs="Times New Roman"/>
                <w:i w:val="0"/>
                <w:iCs w:val="0"/>
                <w:color w:val="auto"/>
                <w:sz w:val="18"/>
                <w:szCs w:val="18"/>
                <w:highlight w:val="none"/>
                <w:u w:val="none"/>
              </w:rPr>
            </w:pPr>
          </w:p>
        </w:tc>
      </w:tr>
      <w:tr w14:paraId="56C2F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shd w:val="clear" w:color="auto" w:fill="auto"/>
            <w:vAlign w:val="center"/>
          </w:tcPr>
          <w:p w14:paraId="05EB5687">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一级指标</w:t>
            </w:r>
          </w:p>
        </w:tc>
        <w:tc>
          <w:tcPr>
            <w:tcW w:w="0" w:type="auto"/>
            <w:shd w:val="clear" w:color="auto" w:fill="auto"/>
            <w:vAlign w:val="center"/>
          </w:tcPr>
          <w:p w14:paraId="47A77F2D">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二级指标</w:t>
            </w:r>
          </w:p>
        </w:tc>
        <w:tc>
          <w:tcPr>
            <w:tcW w:w="0" w:type="auto"/>
            <w:shd w:val="clear" w:color="auto" w:fill="auto"/>
            <w:vAlign w:val="center"/>
          </w:tcPr>
          <w:p w14:paraId="3C00A25A">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三级指标</w:t>
            </w:r>
          </w:p>
        </w:tc>
        <w:tc>
          <w:tcPr>
            <w:tcW w:w="0" w:type="auto"/>
            <w:shd w:val="clear" w:color="auto" w:fill="auto"/>
            <w:vAlign w:val="center"/>
          </w:tcPr>
          <w:p w14:paraId="0F68631B">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指标值</w:t>
            </w:r>
          </w:p>
        </w:tc>
        <w:tc>
          <w:tcPr>
            <w:tcW w:w="0" w:type="auto"/>
            <w:shd w:val="clear" w:color="auto" w:fill="auto"/>
            <w:vAlign w:val="center"/>
          </w:tcPr>
          <w:p w14:paraId="3D1E5C49">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完成值</w:t>
            </w:r>
          </w:p>
        </w:tc>
        <w:tc>
          <w:tcPr>
            <w:tcW w:w="0" w:type="auto"/>
            <w:shd w:val="clear" w:color="auto" w:fill="auto"/>
            <w:vAlign w:val="center"/>
          </w:tcPr>
          <w:p w14:paraId="68FA45C3">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分值</w:t>
            </w:r>
          </w:p>
        </w:tc>
        <w:tc>
          <w:tcPr>
            <w:tcW w:w="0" w:type="auto"/>
            <w:shd w:val="clear" w:color="auto" w:fill="auto"/>
            <w:vAlign w:val="center"/>
          </w:tcPr>
          <w:p w14:paraId="3175581D">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得分</w:t>
            </w:r>
          </w:p>
        </w:tc>
      </w:tr>
      <w:tr w14:paraId="5BF41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restart"/>
            <w:shd w:val="clear" w:color="auto" w:fill="auto"/>
            <w:vAlign w:val="center"/>
          </w:tcPr>
          <w:p w14:paraId="6AC5371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整体绩效目标实现情况（60分）</w:t>
            </w:r>
          </w:p>
        </w:tc>
        <w:tc>
          <w:tcPr>
            <w:tcW w:w="0" w:type="auto"/>
            <w:vMerge w:val="restart"/>
            <w:shd w:val="clear" w:color="auto" w:fill="auto"/>
            <w:vAlign w:val="center"/>
          </w:tcPr>
          <w:p w14:paraId="6E9ED945">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产出（30分）</w:t>
            </w:r>
          </w:p>
        </w:tc>
        <w:tc>
          <w:tcPr>
            <w:tcW w:w="0" w:type="auto"/>
            <w:shd w:val="clear" w:color="auto" w:fill="auto"/>
            <w:vAlign w:val="center"/>
          </w:tcPr>
          <w:p w14:paraId="376D647C">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0715BE0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持续开展类博物馆培育工作,完成类博物馆培育及挂牌开放数量≥26座</w:t>
            </w:r>
          </w:p>
        </w:tc>
        <w:tc>
          <w:tcPr>
            <w:tcW w:w="0" w:type="auto"/>
            <w:shd w:val="clear" w:color="auto" w:fill="auto"/>
            <w:vAlign w:val="center"/>
          </w:tcPr>
          <w:p w14:paraId="68199F3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29座</w:t>
            </w:r>
          </w:p>
        </w:tc>
        <w:tc>
          <w:tcPr>
            <w:tcW w:w="0" w:type="auto"/>
            <w:shd w:val="clear" w:color="auto" w:fill="auto"/>
            <w:vAlign w:val="center"/>
          </w:tcPr>
          <w:p w14:paraId="62C7F1D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31741CC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04654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B39D9FF">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645C8209">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66134ACA">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622A0A9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扶持社会力量兴办博物馆,完成社会力量兴办博物馆的项目征集/扶持资金发放等工作≥20座</w:t>
            </w:r>
          </w:p>
        </w:tc>
        <w:tc>
          <w:tcPr>
            <w:tcW w:w="0" w:type="auto"/>
            <w:shd w:val="clear" w:color="auto" w:fill="auto"/>
            <w:vAlign w:val="center"/>
          </w:tcPr>
          <w:p w14:paraId="2CA6D4C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29座</w:t>
            </w:r>
          </w:p>
        </w:tc>
        <w:tc>
          <w:tcPr>
            <w:tcW w:w="0" w:type="auto"/>
            <w:shd w:val="clear" w:color="auto" w:fill="auto"/>
            <w:vAlign w:val="center"/>
          </w:tcPr>
          <w:p w14:paraId="7E08BF3B">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707F0A60">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1A2F4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4232FF5E">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648F0B3C">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7F675CEE">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296C15C0">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审计总数量≥50项</w:t>
            </w:r>
          </w:p>
        </w:tc>
        <w:tc>
          <w:tcPr>
            <w:tcW w:w="0" w:type="auto"/>
            <w:shd w:val="clear" w:color="auto" w:fill="auto"/>
            <w:vAlign w:val="center"/>
          </w:tcPr>
          <w:p w14:paraId="17EA805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58项</w:t>
            </w:r>
          </w:p>
        </w:tc>
        <w:tc>
          <w:tcPr>
            <w:tcW w:w="0" w:type="auto"/>
            <w:shd w:val="clear" w:color="auto" w:fill="auto"/>
            <w:vAlign w:val="center"/>
          </w:tcPr>
          <w:p w14:paraId="1676344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4C15F03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74C6C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4EDC1D76">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6091D609">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60664168">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2D1ED2C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增量档案数字化及完成档案统计年报报送工作完成率＝100%</w:t>
            </w:r>
          </w:p>
        </w:tc>
        <w:tc>
          <w:tcPr>
            <w:tcW w:w="0" w:type="auto"/>
            <w:shd w:val="clear" w:color="auto" w:fill="auto"/>
            <w:vAlign w:val="center"/>
          </w:tcPr>
          <w:p w14:paraId="6E477D1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0" w:type="auto"/>
            <w:shd w:val="clear" w:color="auto" w:fill="auto"/>
            <w:vAlign w:val="center"/>
          </w:tcPr>
          <w:p w14:paraId="11C6D24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781D516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4FAB9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3255336A">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EA4AADE">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414F971C">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77D16D4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合同审核、决策咨询、行政诉讼以及普法等工作完成率＝100%</w:t>
            </w:r>
          </w:p>
        </w:tc>
        <w:tc>
          <w:tcPr>
            <w:tcW w:w="0" w:type="auto"/>
            <w:shd w:val="clear" w:color="auto" w:fill="auto"/>
            <w:vAlign w:val="center"/>
          </w:tcPr>
          <w:p w14:paraId="43E8CF1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0" w:type="auto"/>
            <w:shd w:val="clear" w:color="auto" w:fill="auto"/>
            <w:vAlign w:val="center"/>
          </w:tcPr>
          <w:p w14:paraId="69DA665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664D29C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380EE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3FEFB02A">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EE79A8A">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52E2C8F8">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234AB6D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完成立法后评估报告＝1篇</w:t>
            </w:r>
          </w:p>
        </w:tc>
        <w:tc>
          <w:tcPr>
            <w:tcW w:w="0" w:type="auto"/>
            <w:shd w:val="clear" w:color="auto" w:fill="auto"/>
            <w:vAlign w:val="center"/>
          </w:tcPr>
          <w:p w14:paraId="2440B19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＝1篇</w:t>
            </w:r>
          </w:p>
        </w:tc>
        <w:tc>
          <w:tcPr>
            <w:tcW w:w="0" w:type="auto"/>
            <w:shd w:val="clear" w:color="auto" w:fill="auto"/>
            <w:vAlign w:val="center"/>
          </w:tcPr>
          <w:p w14:paraId="4CCC41B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6B19823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3B07B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13281A4">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06A0AAB">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7CE5DCC5">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3616798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印制法律法规汇编＝2000本</w:t>
            </w:r>
          </w:p>
        </w:tc>
        <w:tc>
          <w:tcPr>
            <w:tcW w:w="0" w:type="auto"/>
            <w:shd w:val="clear" w:color="auto" w:fill="auto"/>
            <w:vAlign w:val="bottom"/>
          </w:tcPr>
          <w:p w14:paraId="3CA3218A">
            <w:pPr>
              <w:keepNext w:val="0"/>
              <w:keepLines w:val="0"/>
              <w:widowControl/>
              <w:suppressLineNumbers w:val="0"/>
              <w:shd w:val="clear"/>
              <w:jc w:val="center"/>
              <w:textAlignment w:val="bottom"/>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2000本</w:t>
            </w:r>
          </w:p>
        </w:tc>
        <w:tc>
          <w:tcPr>
            <w:tcW w:w="0" w:type="auto"/>
            <w:shd w:val="clear" w:color="auto" w:fill="auto"/>
            <w:vAlign w:val="center"/>
          </w:tcPr>
          <w:p w14:paraId="38F7DA8B">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44AEBEA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64D2F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40D9D08E">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6EC4B9BB">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0383061E">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2282095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依法组织完成考古调查、勘探、发掘等工作完成率＝100%</w:t>
            </w:r>
          </w:p>
        </w:tc>
        <w:tc>
          <w:tcPr>
            <w:tcW w:w="0" w:type="auto"/>
            <w:shd w:val="clear" w:color="auto" w:fill="auto"/>
            <w:vAlign w:val="center"/>
          </w:tcPr>
          <w:p w14:paraId="7D53864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0" w:type="auto"/>
            <w:shd w:val="clear" w:color="auto" w:fill="auto"/>
            <w:vAlign w:val="center"/>
          </w:tcPr>
          <w:p w14:paraId="23C9B0B0">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34A2D77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2DFFA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FC4DCEB">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73298C64">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6AF60E3D">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049520D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电气安全检测单位数量≥16家</w:t>
            </w:r>
          </w:p>
        </w:tc>
        <w:tc>
          <w:tcPr>
            <w:tcW w:w="0" w:type="auto"/>
            <w:shd w:val="clear" w:color="auto" w:fill="auto"/>
            <w:vAlign w:val="center"/>
          </w:tcPr>
          <w:p w14:paraId="77799E8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16家</w:t>
            </w:r>
          </w:p>
        </w:tc>
        <w:tc>
          <w:tcPr>
            <w:tcW w:w="0" w:type="auto"/>
            <w:shd w:val="clear" w:color="auto" w:fill="auto"/>
            <w:vAlign w:val="center"/>
          </w:tcPr>
          <w:p w14:paraId="04573EE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25C5058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3EABB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54AE9C44">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5A2F3586">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5A969CF2">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740AAFC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平台数量＝1个（套）</w:t>
            </w:r>
          </w:p>
        </w:tc>
        <w:tc>
          <w:tcPr>
            <w:tcW w:w="0" w:type="auto"/>
            <w:shd w:val="clear" w:color="auto" w:fill="auto"/>
            <w:vAlign w:val="center"/>
          </w:tcPr>
          <w:p w14:paraId="3B3AD8C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1个（套）</w:t>
            </w:r>
          </w:p>
        </w:tc>
        <w:tc>
          <w:tcPr>
            <w:tcW w:w="0" w:type="auto"/>
            <w:shd w:val="clear" w:color="auto" w:fill="auto"/>
            <w:vAlign w:val="center"/>
          </w:tcPr>
          <w:p w14:paraId="0D961F2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324B040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00E1E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3E4A5F7E">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53455352">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2D1458C4">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0A4D7DE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送审稿数量＝1套</w:t>
            </w:r>
          </w:p>
        </w:tc>
        <w:tc>
          <w:tcPr>
            <w:tcW w:w="0" w:type="auto"/>
            <w:shd w:val="clear" w:color="auto" w:fill="auto"/>
            <w:vAlign w:val="center"/>
          </w:tcPr>
          <w:p w14:paraId="22DC805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＝1套</w:t>
            </w:r>
          </w:p>
        </w:tc>
        <w:tc>
          <w:tcPr>
            <w:tcW w:w="0" w:type="auto"/>
            <w:shd w:val="clear" w:color="auto" w:fill="auto"/>
            <w:vAlign w:val="center"/>
          </w:tcPr>
          <w:p w14:paraId="6246916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15E57C7B">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56FCB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1320BD1">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62E07DE9">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7A5C6B80">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5876901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文本数量＝1套</w:t>
            </w:r>
          </w:p>
        </w:tc>
        <w:tc>
          <w:tcPr>
            <w:tcW w:w="0" w:type="auto"/>
            <w:shd w:val="clear" w:color="auto" w:fill="auto"/>
            <w:vAlign w:val="center"/>
          </w:tcPr>
          <w:p w14:paraId="0510FA2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＝1套</w:t>
            </w:r>
          </w:p>
        </w:tc>
        <w:tc>
          <w:tcPr>
            <w:tcW w:w="0" w:type="auto"/>
            <w:shd w:val="clear" w:color="auto" w:fill="auto"/>
            <w:vAlign w:val="center"/>
          </w:tcPr>
          <w:p w14:paraId="005EFB5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137B805B">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2217A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6241FE3E">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B25666D">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283B9FE4">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6C294DE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消防检测单位数量≥16家</w:t>
            </w:r>
          </w:p>
        </w:tc>
        <w:tc>
          <w:tcPr>
            <w:tcW w:w="0" w:type="auto"/>
            <w:shd w:val="clear" w:color="auto" w:fill="auto"/>
            <w:vAlign w:val="center"/>
          </w:tcPr>
          <w:p w14:paraId="1336838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16家</w:t>
            </w:r>
          </w:p>
        </w:tc>
        <w:tc>
          <w:tcPr>
            <w:tcW w:w="0" w:type="auto"/>
            <w:shd w:val="clear" w:color="auto" w:fill="auto"/>
            <w:vAlign w:val="center"/>
          </w:tcPr>
          <w:p w14:paraId="3DF012C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5277848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44AA5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E5BF4D5">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54A8E42">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75430991">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53082F0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消防设施安全评估单位数量≥16家</w:t>
            </w:r>
          </w:p>
        </w:tc>
        <w:tc>
          <w:tcPr>
            <w:tcW w:w="0" w:type="auto"/>
            <w:shd w:val="clear" w:color="auto" w:fill="auto"/>
            <w:vAlign w:val="center"/>
          </w:tcPr>
          <w:p w14:paraId="008CA79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16家</w:t>
            </w:r>
          </w:p>
        </w:tc>
        <w:tc>
          <w:tcPr>
            <w:tcW w:w="0" w:type="auto"/>
            <w:shd w:val="clear" w:color="auto" w:fill="auto"/>
            <w:vAlign w:val="center"/>
          </w:tcPr>
          <w:p w14:paraId="030E70EB">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1F959C5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5C00E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41AF6411">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6EE43D39">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1E118283">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2CB98A6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评审事项数量≥200项</w:t>
            </w:r>
          </w:p>
        </w:tc>
        <w:tc>
          <w:tcPr>
            <w:tcW w:w="0" w:type="auto"/>
            <w:shd w:val="clear" w:color="auto" w:fill="auto"/>
            <w:vAlign w:val="center"/>
          </w:tcPr>
          <w:p w14:paraId="30A36AE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165项</w:t>
            </w:r>
          </w:p>
        </w:tc>
        <w:tc>
          <w:tcPr>
            <w:tcW w:w="0" w:type="auto"/>
            <w:shd w:val="clear" w:color="auto" w:fill="auto"/>
            <w:vAlign w:val="center"/>
          </w:tcPr>
          <w:p w14:paraId="37D3E6F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0D3747E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0.41</w:t>
            </w:r>
          </w:p>
        </w:tc>
      </w:tr>
      <w:tr w14:paraId="29385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0A57BEE5">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5C38F077">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216C1AEA">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0343F0F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北京市不可移动文物革命文物白皮书覆盖不可移动革命文物数量≥8处</w:t>
            </w:r>
          </w:p>
        </w:tc>
        <w:tc>
          <w:tcPr>
            <w:tcW w:w="0" w:type="auto"/>
            <w:shd w:val="clear" w:color="auto" w:fill="auto"/>
            <w:vAlign w:val="center"/>
          </w:tcPr>
          <w:p w14:paraId="1D6740E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12个</w:t>
            </w:r>
          </w:p>
        </w:tc>
        <w:tc>
          <w:tcPr>
            <w:tcW w:w="0" w:type="auto"/>
            <w:shd w:val="clear" w:color="auto" w:fill="auto"/>
            <w:vAlign w:val="center"/>
          </w:tcPr>
          <w:p w14:paraId="26E632A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1960CD4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735A0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4D0B6BBB">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A61C66B">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0B07E613">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0FB7BC1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完成文博工作发展需要的专项课题≥5篇</w:t>
            </w:r>
          </w:p>
        </w:tc>
        <w:tc>
          <w:tcPr>
            <w:tcW w:w="0" w:type="auto"/>
            <w:shd w:val="clear" w:color="auto" w:fill="auto"/>
            <w:vAlign w:val="center"/>
          </w:tcPr>
          <w:p w14:paraId="41371C0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5篇</w:t>
            </w:r>
          </w:p>
        </w:tc>
        <w:tc>
          <w:tcPr>
            <w:tcW w:w="0" w:type="auto"/>
            <w:shd w:val="clear" w:color="auto" w:fill="auto"/>
            <w:vAlign w:val="center"/>
          </w:tcPr>
          <w:p w14:paraId="6349E2D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3A4C5E7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26AC8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4AB71652">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02069462">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79E9445C">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4279663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重点革命文物基础数据建立与展示利用工作≥3处</w:t>
            </w:r>
          </w:p>
        </w:tc>
        <w:tc>
          <w:tcPr>
            <w:tcW w:w="0" w:type="auto"/>
            <w:shd w:val="clear" w:color="auto" w:fill="auto"/>
            <w:vAlign w:val="center"/>
          </w:tcPr>
          <w:p w14:paraId="4495494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4处</w:t>
            </w:r>
          </w:p>
        </w:tc>
        <w:tc>
          <w:tcPr>
            <w:tcW w:w="0" w:type="auto"/>
            <w:shd w:val="clear" w:color="auto" w:fill="auto"/>
            <w:vAlign w:val="center"/>
          </w:tcPr>
          <w:p w14:paraId="4968C4B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2246EEB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3D6C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1748B81C">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255C392F">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614F5CB8">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3CD168D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颁发北京地区博物馆数字版权登记证书≥200个（台、套、件、辆）</w:t>
            </w:r>
          </w:p>
        </w:tc>
        <w:tc>
          <w:tcPr>
            <w:tcW w:w="0" w:type="auto"/>
            <w:shd w:val="clear" w:color="auto" w:fill="auto"/>
            <w:vAlign w:val="center"/>
          </w:tcPr>
          <w:p w14:paraId="3E689E3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1043份</w:t>
            </w:r>
          </w:p>
        </w:tc>
        <w:tc>
          <w:tcPr>
            <w:tcW w:w="0" w:type="auto"/>
            <w:shd w:val="clear" w:color="auto" w:fill="auto"/>
            <w:vAlign w:val="center"/>
          </w:tcPr>
          <w:p w14:paraId="61FBA3A0">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6786EE3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7595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21E52B31">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ABCAD8A">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05A27DF4">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15E9CC9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北京地区文物拍卖会审核批复≥500场</w:t>
            </w:r>
          </w:p>
        </w:tc>
        <w:tc>
          <w:tcPr>
            <w:tcW w:w="0" w:type="auto"/>
            <w:shd w:val="clear" w:color="auto" w:fill="auto"/>
            <w:vAlign w:val="center"/>
          </w:tcPr>
          <w:p w14:paraId="65A4B47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6154场次</w:t>
            </w:r>
          </w:p>
        </w:tc>
        <w:tc>
          <w:tcPr>
            <w:tcW w:w="0" w:type="auto"/>
            <w:shd w:val="clear" w:color="auto" w:fill="auto"/>
            <w:vAlign w:val="center"/>
          </w:tcPr>
          <w:p w14:paraId="3A3F9A7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7D0AACD0">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0C798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6F8AFDBE">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0B935EF3">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3FB1A95D">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162E85A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采集文物藏品素材≥200个（台、套、件、辆）</w:t>
            </w:r>
          </w:p>
        </w:tc>
        <w:tc>
          <w:tcPr>
            <w:tcW w:w="0" w:type="auto"/>
            <w:shd w:val="clear" w:color="auto" w:fill="auto"/>
            <w:vAlign w:val="center"/>
          </w:tcPr>
          <w:p w14:paraId="54C5E7E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1000件</w:t>
            </w:r>
          </w:p>
        </w:tc>
        <w:tc>
          <w:tcPr>
            <w:tcW w:w="0" w:type="auto"/>
            <w:shd w:val="clear" w:color="auto" w:fill="auto"/>
            <w:vAlign w:val="center"/>
          </w:tcPr>
          <w:p w14:paraId="4049E49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70033AA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1E1C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565581E6">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1FA5B5EF">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0CD31D52">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17A8947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发布北京指数监测数据＝12期</w:t>
            </w:r>
          </w:p>
        </w:tc>
        <w:tc>
          <w:tcPr>
            <w:tcW w:w="0" w:type="auto"/>
            <w:shd w:val="clear" w:color="auto" w:fill="auto"/>
            <w:vAlign w:val="center"/>
          </w:tcPr>
          <w:p w14:paraId="7C62AF9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12期</w:t>
            </w:r>
          </w:p>
        </w:tc>
        <w:tc>
          <w:tcPr>
            <w:tcW w:w="0" w:type="auto"/>
            <w:shd w:val="clear" w:color="auto" w:fill="auto"/>
            <w:vAlign w:val="center"/>
          </w:tcPr>
          <w:p w14:paraId="4055C96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6D078260">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7B3B4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6637EF6">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63E77E3A">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3B7679E9">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6601E02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文物拍卖市场监测报告＝5期</w:t>
            </w:r>
          </w:p>
        </w:tc>
        <w:tc>
          <w:tcPr>
            <w:tcW w:w="0" w:type="auto"/>
            <w:shd w:val="clear" w:color="auto" w:fill="auto"/>
            <w:vAlign w:val="center"/>
          </w:tcPr>
          <w:p w14:paraId="6AA3100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＝5期</w:t>
            </w:r>
          </w:p>
        </w:tc>
        <w:tc>
          <w:tcPr>
            <w:tcW w:w="0" w:type="auto"/>
            <w:shd w:val="clear" w:color="auto" w:fill="auto"/>
            <w:vAlign w:val="center"/>
          </w:tcPr>
          <w:p w14:paraId="34D7F78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2B22EF8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5DA2E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32C5781">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21F6A319">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6EF691BC">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640923C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线上文物拍卖会监拍比例≥50%</w:t>
            </w:r>
          </w:p>
        </w:tc>
        <w:tc>
          <w:tcPr>
            <w:tcW w:w="0" w:type="auto"/>
            <w:shd w:val="clear" w:color="auto" w:fill="auto"/>
            <w:vAlign w:val="center"/>
          </w:tcPr>
          <w:p w14:paraId="636891F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≥50%</w:t>
            </w:r>
          </w:p>
        </w:tc>
        <w:tc>
          <w:tcPr>
            <w:tcW w:w="0" w:type="auto"/>
            <w:shd w:val="clear" w:color="auto" w:fill="auto"/>
            <w:vAlign w:val="center"/>
          </w:tcPr>
          <w:p w14:paraId="420EE7D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5B259CF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788FB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0F4E70E7">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5E3A9DDD">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5FD1B841">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2C1CA58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线下文物拍卖会≥10%</w:t>
            </w:r>
          </w:p>
        </w:tc>
        <w:tc>
          <w:tcPr>
            <w:tcW w:w="0" w:type="auto"/>
            <w:shd w:val="clear" w:color="auto" w:fill="auto"/>
            <w:vAlign w:val="center"/>
          </w:tcPr>
          <w:p w14:paraId="613CC0C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w:t>
            </w:r>
          </w:p>
        </w:tc>
        <w:tc>
          <w:tcPr>
            <w:tcW w:w="0" w:type="auto"/>
            <w:shd w:val="clear" w:color="auto" w:fill="auto"/>
            <w:vAlign w:val="center"/>
          </w:tcPr>
          <w:p w14:paraId="2819B02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1F29D61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36521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5DDFB84C">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E439756">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27F95C0D">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3757B31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出版《北京文博》＝1期</w:t>
            </w:r>
          </w:p>
        </w:tc>
        <w:tc>
          <w:tcPr>
            <w:tcW w:w="0" w:type="auto"/>
            <w:shd w:val="clear" w:color="auto" w:fill="auto"/>
            <w:vAlign w:val="center"/>
          </w:tcPr>
          <w:p w14:paraId="41188E3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＝1期</w:t>
            </w:r>
          </w:p>
        </w:tc>
        <w:tc>
          <w:tcPr>
            <w:tcW w:w="0" w:type="auto"/>
            <w:shd w:val="clear" w:color="auto" w:fill="auto"/>
            <w:vAlign w:val="center"/>
          </w:tcPr>
          <w:p w14:paraId="1FE97C0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564CE25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0DAF7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3B45E8B6">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F12CD88">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593483BC">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123C6FC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举办“一城三带”专题活动≥5场次</w:t>
            </w:r>
          </w:p>
        </w:tc>
        <w:tc>
          <w:tcPr>
            <w:tcW w:w="0" w:type="auto"/>
            <w:shd w:val="clear" w:color="auto" w:fill="auto"/>
            <w:vAlign w:val="center"/>
          </w:tcPr>
          <w:p w14:paraId="0641645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2场</w:t>
            </w:r>
          </w:p>
        </w:tc>
        <w:tc>
          <w:tcPr>
            <w:tcW w:w="0" w:type="auto"/>
            <w:shd w:val="clear" w:color="auto" w:fill="auto"/>
            <w:vAlign w:val="center"/>
          </w:tcPr>
          <w:p w14:paraId="76959A3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60B45BF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5D4AF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63881FFD">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59A28DB5">
            <w:pPr>
              <w:shd w:val="clear"/>
              <w:jc w:val="left"/>
              <w:rPr>
                <w:rFonts w:hint="default" w:ascii="Times New Roman" w:hAnsi="Times New Roman" w:eastAsia="宋体" w:cs="Times New Roman"/>
                <w:i w:val="0"/>
                <w:iCs w:val="0"/>
                <w:color w:val="auto"/>
                <w:sz w:val="18"/>
                <w:szCs w:val="18"/>
                <w:highlight w:val="none"/>
                <w:u w:val="none"/>
              </w:rPr>
            </w:pPr>
          </w:p>
        </w:tc>
        <w:tc>
          <w:tcPr>
            <w:tcW w:w="0" w:type="auto"/>
            <w:vMerge w:val="restart"/>
            <w:shd w:val="clear" w:color="auto" w:fill="auto"/>
            <w:vAlign w:val="center"/>
          </w:tcPr>
          <w:p w14:paraId="16594ED5">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vMerge w:val="restart"/>
            <w:shd w:val="clear" w:color="auto" w:fill="auto"/>
            <w:vAlign w:val="center"/>
          </w:tcPr>
          <w:p w14:paraId="24BD093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媒体转载次数≥30次</w:t>
            </w:r>
          </w:p>
        </w:tc>
        <w:tc>
          <w:tcPr>
            <w:tcW w:w="0" w:type="auto"/>
            <w:shd w:val="clear" w:color="auto" w:fill="auto"/>
            <w:vAlign w:val="center"/>
          </w:tcPr>
          <w:p w14:paraId="7BDB3F8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相关报道38.9</w:t>
            </w:r>
          </w:p>
        </w:tc>
        <w:tc>
          <w:tcPr>
            <w:tcW w:w="0" w:type="auto"/>
            <w:vMerge w:val="restart"/>
            <w:shd w:val="clear" w:color="auto" w:fill="auto"/>
            <w:vAlign w:val="center"/>
          </w:tcPr>
          <w:p w14:paraId="283FEC0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vMerge w:val="restart"/>
            <w:shd w:val="clear" w:color="auto" w:fill="auto"/>
            <w:vAlign w:val="center"/>
          </w:tcPr>
          <w:p w14:paraId="7C56AB9B">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5B0B9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6EB43DFC">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039FED16">
            <w:pPr>
              <w:shd w:val="clear"/>
              <w:jc w:val="left"/>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65D5DC00">
            <w:pPr>
              <w:shd w:val="clear"/>
              <w:jc w:val="left"/>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7192241B">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32B0A3FB">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万余篇</w:t>
            </w:r>
          </w:p>
        </w:tc>
        <w:tc>
          <w:tcPr>
            <w:tcW w:w="0" w:type="auto"/>
            <w:vMerge w:val="continue"/>
            <w:shd w:val="clear" w:color="auto" w:fill="auto"/>
            <w:vAlign w:val="center"/>
          </w:tcPr>
          <w:p w14:paraId="0DB96E65">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1A645C8A">
            <w:pPr>
              <w:shd w:val="clear"/>
              <w:jc w:val="center"/>
              <w:rPr>
                <w:rFonts w:hint="default" w:ascii="Times New Roman" w:hAnsi="Times New Roman" w:eastAsia="宋体" w:cs="Times New Roman"/>
                <w:i w:val="0"/>
                <w:iCs w:val="0"/>
                <w:color w:val="auto"/>
                <w:sz w:val="18"/>
                <w:szCs w:val="18"/>
                <w:highlight w:val="none"/>
                <w:u w:val="none"/>
              </w:rPr>
            </w:pPr>
          </w:p>
        </w:tc>
      </w:tr>
      <w:tr w14:paraId="56C6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330780E">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51F48D25">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1F16BC51">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1787ADB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印制《北京文物年鉴2024》＝1套</w:t>
            </w:r>
          </w:p>
        </w:tc>
        <w:tc>
          <w:tcPr>
            <w:tcW w:w="0" w:type="auto"/>
            <w:shd w:val="clear" w:color="auto" w:fill="auto"/>
            <w:vAlign w:val="bottom"/>
          </w:tcPr>
          <w:p w14:paraId="70D81A08">
            <w:pPr>
              <w:keepNext w:val="0"/>
              <w:keepLines w:val="0"/>
              <w:widowControl/>
              <w:suppressLineNumbers w:val="0"/>
              <w:shd w:val="clear"/>
              <w:jc w:val="center"/>
              <w:textAlignment w:val="bottom"/>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1套</w:t>
            </w:r>
          </w:p>
        </w:tc>
        <w:tc>
          <w:tcPr>
            <w:tcW w:w="0" w:type="auto"/>
            <w:shd w:val="clear" w:color="auto" w:fill="auto"/>
            <w:vAlign w:val="center"/>
          </w:tcPr>
          <w:p w14:paraId="61D6A19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50BD639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218A7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1A944399">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7FC11BFF">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6F716169">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2F0EB00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制作新媒体产品＝15个</w:t>
            </w:r>
          </w:p>
        </w:tc>
        <w:tc>
          <w:tcPr>
            <w:tcW w:w="0" w:type="auto"/>
            <w:shd w:val="clear" w:color="auto" w:fill="auto"/>
            <w:vAlign w:val="bottom"/>
          </w:tcPr>
          <w:p w14:paraId="105E35A7">
            <w:pPr>
              <w:keepNext w:val="0"/>
              <w:keepLines w:val="0"/>
              <w:widowControl/>
              <w:suppressLineNumbers w:val="0"/>
              <w:shd w:val="clear"/>
              <w:jc w:val="center"/>
              <w:textAlignment w:val="bottom"/>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36个</w:t>
            </w:r>
          </w:p>
        </w:tc>
        <w:tc>
          <w:tcPr>
            <w:tcW w:w="0" w:type="auto"/>
            <w:shd w:val="clear" w:color="auto" w:fill="auto"/>
            <w:vAlign w:val="center"/>
          </w:tcPr>
          <w:p w14:paraId="242C7FF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217EAFE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6DDEF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08DD1521">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7187CEF1">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00D08D54">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179E9B5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制作宣传视频＝120分钟</w:t>
            </w:r>
          </w:p>
        </w:tc>
        <w:tc>
          <w:tcPr>
            <w:tcW w:w="0" w:type="auto"/>
            <w:shd w:val="clear" w:color="auto" w:fill="auto"/>
            <w:vAlign w:val="bottom"/>
          </w:tcPr>
          <w:p w14:paraId="1469D3F7">
            <w:pPr>
              <w:keepNext w:val="0"/>
              <w:keepLines w:val="0"/>
              <w:widowControl/>
              <w:suppressLineNumbers w:val="0"/>
              <w:shd w:val="clear"/>
              <w:jc w:val="center"/>
              <w:textAlignment w:val="bottom"/>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138分钟</w:t>
            </w:r>
          </w:p>
        </w:tc>
        <w:tc>
          <w:tcPr>
            <w:tcW w:w="0" w:type="auto"/>
            <w:shd w:val="clear" w:color="auto" w:fill="auto"/>
            <w:vAlign w:val="center"/>
          </w:tcPr>
          <w:p w14:paraId="10B0BD5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2862DA0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734AC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452BB14A">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7468BA9C">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0A36237E">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1F483BF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组织文化及自然遗产日专题活动＝1场</w:t>
            </w:r>
          </w:p>
        </w:tc>
        <w:tc>
          <w:tcPr>
            <w:tcW w:w="0" w:type="auto"/>
            <w:shd w:val="clear" w:color="auto" w:fill="auto"/>
            <w:vAlign w:val="bottom"/>
          </w:tcPr>
          <w:p w14:paraId="728E4C3C">
            <w:pPr>
              <w:keepNext w:val="0"/>
              <w:keepLines w:val="0"/>
              <w:widowControl/>
              <w:suppressLineNumbers w:val="0"/>
              <w:shd w:val="clear"/>
              <w:jc w:val="center"/>
              <w:textAlignment w:val="bottom"/>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1场</w:t>
            </w:r>
          </w:p>
        </w:tc>
        <w:tc>
          <w:tcPr>
            <w:tcW w:w="0" w:type="auto"/>
            <w:shd w:val="clear" w:color="auto" w:fill="auto"/>
            <w:vAlign w:val="center"/>
          </w:tcPr>
          <w:p w14:paraId="622DB4F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37D36C3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05E7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C0F5E8F">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72B82EA">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0C422556">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203E7CB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举办第二届北京博物馆活动月＝1场次</w:t>
            </w:r>
          </w:p>
        </w:tc>
        <w:tc>
          <w:tcPr>
            <w:tcW w:w="0" w:type="auto"/>
            <w:shd w:val="clear" w:color="auto" w:fill="auto"/>
            <w:vAlign w:val="center"/>
          </w:tcPr>
          <w:p w14:paraId="4680736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1场</w:t>
            </w:r>
          </w:p>
        </w:tc>
        <w:tc>
          <w:tcPr>
            <w:tcW w:w="0" w:type="auto"/>
            <w:shd w:val="clear" w:color="auto" w:fill="auto"/>
            <w:vAlign w:val="center"/>
          </w:tcPr>
          <w:p w14:paraId="30CB1B7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7303A8D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22A1B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277B2B99">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26448E13">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61030E02">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2858685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计划开展培训班次≥5项</w:t>
            </w:r>
          </w:p>
        </w:tc>
        <w:tc>
          <w:tcPr>
            <w:tcW w:w="0" w:type="auto"/>
            <w:shd w:val="clear" w:color="auto" w:fill="auto"/>
            <w:vAlign w:val="center"/>
          </w:tcPr>
          <w:p w14:paraId="33BDA9C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8个</w:t>
            </w:r>
          </w:p>
        </w:tc>
        <w:tc>
          <w:tcPr>
            <w:tcW w:w="0" w:type="auto"/>
            <w:shd w:val="clear" w:color="auto" w:fill="auto"/>
            <w:vAlign w:val="center"/>
          </w:tcPr>
          <w:p w14:paraId="17E9C55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3EFFF9C0">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1DD18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2E988820">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54D91EC">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62BBC72B">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0" w:type="auto"/>
            <w:shd w:val="clear" w:color="auto" w:fill="auto"/>
            <w:vAlign w:val="center"/>
          </w:tcPr>
          <w:p w14:paraId="514E8E8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培训人员数量≥300人</w:t>
            </w:r>
          </w:p>
        </w:tc>
        <w:tc>
          <w:tcPr>
            <w:tcW w:w="0" w:type="auto"/>
            <w:shd w:val="clear" w:color="auto" w:fill="auto"/>
            <w:vAlign w:val="center"/>
          </w:tcPr>
          <w:p w14:paraId="1130F4E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915人次</w:t>
            </w:r>
          </w:p>
        </w:tc>
        <w:tc>
          <w:tcPr>
            <w:tcW w:w="0" w:type="auto"/>
            <w:shd w:val="clear" w:color="auto" w:fill="auto"/>
            <w:vAlign w:val="center"/>
          </w:tcPr>
          <w:p w14:paraId="3519E30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562690E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52B1A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3D903852">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DA327A6">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33E5FC60">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质量指标</w:t>
            </w:r>
          </w:p>
        </w:tc>
        <w:tc>
          <w:tcPr>
            <w:tcW w:w="0" w:type="auto"/>
            <w:shd w:val="clear" w:color="auto" w:fill="auto"/>
            <w:vAlign w:val="center"/>
          </w:tcPr>
          <w:p w14:paraId="52B9075A">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通过"北京市博物馆大数据平台"对全市博物馆藏品出借/修复等行为进行监管。</w:t>
            </w:r>
          </w:p>
        </w:tc>
        <w:tc>
          <w:tcPr>
            <w:tcW w:w="0" w:type="auto"/>
            <w:shd w:val="clear" w:color="auto" w:fill="auto"/>
            <w:vAlign w:val="center"/>
          </w:tcPr>
          <w:p w14:paraId="37B42C57">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监测系统运行状况监测已全面部署并持续稳定运行，实现了对北京市博物馆大数据平台的24小时不间断监控</w:t>
            </w:r>
          </w:p>
        </w:tc>
        <w:tc>
          <w:tcPr>
            <w:tcW w:w="0" w:type="auto"/>
            <w:shd w:val="clear" w:color="auto" w:fill="auto"/>
            <w:vAlign w:val="center"/>
          </w:tcPr>
          <w:p w14:paraId="5947A56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0AC99EF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r>
      <w:tr w14:paraId="06355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5F5FD6F8">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5DCEF98D">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5131EFDA">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质量指标</w:t>
            </w:r>
          </w:p>
        </w:tc>
        <w:tc>
          <w:tcPr>
            <w:tcW w:w="0" w:type="auto"/>
            <w:shd w:val="clear" w:color="auto" w:fill="auto"/>
            <w:vAlign w:val="center"/>
          </w:tcPr>
          <w:p w14:paraId="412D39BE">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档案数字化准确率≥99%</w:t>
            </w:r>
          </w:p>
        </w:tc>
        <w:tc>
          <w:tcPr>
            <w:tcW w:w="0" w:type="auto"/>
            <w:shd w:val="clear" w:color="auto" w:fill="auto"/>
            <w:vAlign w:val="center"/>
          </w:tcPr>
          <w:p w14:paraId="65F6DDCA">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≥99%</w:t>
            </w:r>
          </w:p>
        </w:tc>
        <w:tc>
          <w:tcPr>
            <w:tcW w:w="0" w:type="auto"/>
            <w:shd w:val="clear" w:color="auto" w:fill="auto"/>
            <w:vAlign w:val="center"/>
          </w:tcPr>
          <w:p w14:paraId="2FE76D4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1E1577F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786A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5B2E5DFC">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EFC7728">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2222DE7C">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质量指标</w:t>
            </w:r>
          </w:p>
        </w:tc>
        <w:tc>
          <w:tcPr>
            <w:tcW w:w="0" w:type="auto"/>
            <w:shd w:val="clear" w:color="auto" w:fill="auto"/>
            <w:vAlign w:val="center"/>
          </w:tcPr>
          <w:p w14:paraId="286C705C">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勘探发掘合格率＝100%</w:t>
            </w:r>
          </w:p>
        </w:tc>
        <w:tc>
          <w:tcPr>
            <w:tcW w:w="0" w:type="auto"/>
            <w:shd w:val="clear" w:color="auto" w:fill="auto"/>
            <w:vAlign w:val="center"/>
          </w:tcPr>
          <w:p w14:paraId="310EB86D">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2147C63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w:t>
            </w:r>
          </w:p>
        </w:tc>
        <w:tc>
          <w:tcPr>
            <w:tcW w:w="0" w:type="auto"/>
            <w:shd w:val="clear" w:color="auto" w:fill="auto"/>
            <w:vAlign w:val="center"/>
          </w:tcPr>
          <w:p w14:paraId="2C4C642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w:t>
            </w:r>
          </w:p>
        </w:tc>
      </w:tr>
      <w:tr w14:paraId="16F84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3E02BFA0">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105F7349">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24B0631E">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质量指标</w:t>
            </w:r>
          </w:p>
        </w:tc>
        <w:tc>
          <w:tcPr>
            <w:tcW w:w="0" w:type="auto"/>
            <w:shd w:val="clear" w:color="auto" w:fill="auto"/>
            <w:vAlign w:val="center"/>
          </w:tcPr>
          <w:p w14:paraId="3AD70DC0">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评审工作的合规性优</w:t>
            </w:r>
          </w:p>
        </w:tc>
        <w:tc>
          <w:tcPr>
            <w:tcW w:w="0" w:type="auto"/>
            <w:shd w:val="clear" w:color="auto" w:fill="auto"/>
            <w:vAlign w:val="center"/>
          </w:tcPr>
          <w:p w14:paraId="18357928">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合规</w:t>
            </w:r>
          </w:p>
        </w:tc>
        <w:tc>
          <w:tcPr>
            <w:tcW w:w="0" w:type="auto"/>
            <w:shd w:val="clear" w:color="auto" w:fill="auto"/>
            <w:vAlign w:val="center"/>
          </w:tcPr>
          <w:p w14:paraId="194F120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01A1A07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r>
      <w:tr w14:paraId="5C7C3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23AFDBE5">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530FA3E">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1AA832B3">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质量指标</w:t>
            </w:r>
          </w:p>
        </w:tc>
        <w:tc>
          <w:tcPr>
            <w:tcW w:w="0" w:type="auto"/>
            <w:shd w:val="clear" w:color="auto" w:fill="auto"/>
            <w:vAlign w:val="center"/>
          </w:tcPr>
          <w:p w14:paraId="7EEA9DC1">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工作开展质量达标率≥95%</w:t>
            </w:r>
          </w:p>
        </w:tc>
        <w:tc>
          <w:tcPr>
            <w:tcW w:w="0" w:type="auto"/>
            <w:shd w:val="clear" w:color="auto" w:fill="auto"/>
            <w:vAlign w:val="center"/>
          </w:tcPr>
          <w:p w14:paraId="61315999">
            <w:pPr>
              <w:keepNext w:val="0"/>
              <w:keepLines w:val="0"/>
              <w:widowControl/>
              <w:suppressLineNumbers w:val="0"/>
              <w:shd w:val="clear"/>
              <w:jc w:val="righ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16669A6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46AAB1B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r>
      <w:tr w14:paraId="65AA7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57DF9613">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7DDE82AE">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7D577DEE">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质量指标</w:t>
            </w:r>
          </w:p>
        </w:tc>
        <w:tc>
          <w:tcPr>
            <w:tcW w:w="0" w:type="auto"/>
            <w:shd w:val="clear" w:color="auto" w:fill="auto"/>
            <w:vAlign w:val="center"/>
          </w:tcPr>
          <w:p w14:paraId="3CA265E6">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课题评审通过率≥85%</w:t>
            </w:r>
          </w:p>
        </w:tc>
        <w:tc>
          <w:tcPr>
            <w:tcW w:w="0" w:type="auto"/>
            <w:shd w:val="clear" w:color="auto" w:fill="auto"/>
            <w:vAlign w:val="center"/>
          </w:tcPr>
          <w:p w14:paraId="52B3280A">
            <w:pPr>
              <w:keepNext w:val="0"/>
              <w:keepLines w:val="0"/>
              <w:widowControl/>
              <w:suppressLineNumbers w:val="0"/>
              <w:shd w:val="clear"/>
              <w:jc w:val="righ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40A179E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61CD796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r>
      <w:tr w14:paraId="0EE30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DEECE4D">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7BD20BA">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4B15E152">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质量指标</w:t>
            </w:r>
          </w:p>
        </w:tc>
        <w:tc>
          <w:tcPr>
            <w:tcW w:w="0" w:type="auto"/>
            <w:shd w:val="clear" w:color="auto" w:fill="auto"/>
            <w:vAlign w:val="center"/>
          </w:tcPr>
          <w:p w14:paraId="384D4EE7">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宣传活动/宣传制品达标率＝100%</w:t>
            </w:r>
          </w:p>
        </w:tc>
        <w:tc>
          <w:tcPr>
            <w:tcW w:w="0" w:type="auto"/>
            <w:shd w:val="clear" w:color="auto" w:fill="auto"/>
            <w:vAlign w:val="center"/>
          </w:tcPr>
          <w:p w14:paraId="5D03941F">
            <w:pPr>
              <w:keepNext w:val="0"/>
              <w:keepLines w:val="0"/>
              <w:widowControl/>
              <w:suppressLineNumbers w:val="0"/>
              <w:shd w:val="clear"/>
              <w:jc w:val="righ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5A0769C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5A4D3960">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r>
      <w:tr w14:paraId="7FE90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BE783CE">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27BA54B8">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56A1C134">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质量指标</w:t>
            </w:r>
          </w:p>
        </w:tc>
        <w:tc>
          <w:tcPr>
            <w:tcW w:w="0" w:type="auto"/>
            <w:shd w:val="clear" w:color="auto" w:fill="auto"/>
            <w:vAlign w:val="center"/>
          </w:tcPr>
          <w:p w14:paraId="047CA236">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重大舆情处置率≥95%</w:t>
            </w:r>
          </w:p>
        </w:tc>
        <w:tc>
          <w:tcPr>
            <w:tcW w:w="0" w:type="auto"/>
            <w:shd w:val="clear" w:color="auto" w:fill="auto"/>
            <w:vAlign w:val="center"/>
          </w:tcPr>
          <w:p w14:paraId="4B38DF79">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未发生重大舆情事件</w:t>
            </w:r>
          </w:p>
        </w:tc>
        <w:tc>
          <w:tcPr>
            <w:tcW w:w="0" w:type="auto"/>
            <w:shd w:val="clear" w:color="auto" w:fill="auto"/>
            <w:vAlign w:val="center"/>
          </w:tcPr>
          <w:p w14:paraId="20D35AC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5E11F12B">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r>
      <w:tr w14:paraId="61D7D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23D955D">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07BFAA73">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45CA878E">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时效指标</w:t>
            </w:r>
          </w:p>
        </w:tc>
        <w:tc>
          <w:tcPr>
            <w:tcW w:w="0" w:type="auto"/>
            <w:shd w:val="clear" w:color="auto" w:fill="auto"/>
            <w:vAlign w:val="center"/>
          </w:tcPr>
          <w:p w14:paraId="726ECD21">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按时公开部门预、决算信息好</w:t>
            </w:r>
          </w:p>
        </w:tc>
        <w:tc>
          <w:tcPr>
            <w:tcW w:w="0" w:type="auto"/>
            <w:shd w:val="clear" w:color="auto" w:fill="auto"/>
            <w:vAlign w:val="center"/>
          </w:tcPr>
          <w:p w14:paraId="2F50E743">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按照要求及时公开部门预、决算信息</w:t>
            </w:r>
          </w:p>
        </w:tc>
        <w:tc>
          <w:tcPr>
            <w:tcW w:w="0" w:type="auto"/>
            <w:shd w:val="clear" w:color="auto" w:fill="auto"/>
            <w:vAlign w:val="center"/>
          </w:tcPr>
          <w:p w14:paraId="2861AE9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1AC3327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68BAA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49ED0C99">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A9C4983">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21CC5B36">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时效指标</w:t>
            </w:r>
          </w:p>
        </w:tc>
        <w:tc>
          <w:tcPr>
            <w:tcW w:w="0" w:type="auto"/>
            <w:shd w:val="clear" w:color="auto" w:fill="auto"/>
            <w:vAlign w:val="center"/>
          </w:tcPr>
          <w:p w14:paraId="44149479">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档案数字化按时完成率＝100%</w:t>
            </w:r>
          </w:p>
        </w:tc>
        <w:tc>
          <w:tcPr>
            <w:tcW w:w="0" w:type="auto"/>
            <w:shd w:val="clear" w:color="auto" w:fill="auto"/>
            <w:vAlign w:val="center"/>
          </w:tcPr>
          <w:p w14:paraId="011C77CB">
            <w:pPr>
              <w:keepNext w:val="0"/>
              <w:keepLines w:val="0"/>
              <w:widowControl/>
              <w:suppressLineNumbers w:val="0"/>
              <w:shd w:val="clear"/>
              <w:jc w:val="righ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2797E8F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6422FD5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11936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5F52A927">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BE3BB10">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7DE309B8">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时效指标</w:t>
            </w:r>
          </w:p>
        </w:tc>
        <w:tc>
          <w:tcPr>
            <w:tcW w:w="0" w:type="auto"/>
            <w:shd w:val="clear" w:color="auto" w:fill="auto"/>
            <w:vAlign w:val="center"/>
          </w:tcPr>
          <w:p w14:paraId="1E234F4C">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行业部门合同管理保障时效＝100%</w:t>
            </w:r>
          </w:p>
        </w:tc>
        <w:tc>
          <w:tcPr>
            <w:tcW w:w="0" w:type="auto"/>
            <w:shd w:val="clear" w:color="auto" w:fill="auto"/>
            <w:vAlign w:val="center"/>
          </w:tcPr>
          <w:p w14:paraId="05F249C9">
            <w:pPr>
              <w:keepNext w:val="0"/>
              <w:keepLines w:val="0"/>
              <w:widowControl/>
              <w:suppressLineNumbers w:val="0"/>
              <w:shd w:val="clear"/>
              <w:jc w:val="righ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2724995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0CC15DF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33351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67402DE">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15491335">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5283EA8B">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时效指标</w:t>
            </w:r>
          </w:p>
        </w:tc>
        <w:tc>
          <w:tcPr>
            <w:tcW w:w="0" w:type="auto"/>
            <w:shd w:val="clear" w:color="auto" w:fill="auto"/>
            <w:vAlign w:val="center"/>
          </w:tcPr>
          <w:p w14:paraId="5D615909">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考古调查、勘探和发掘根据申报情况和基本建设工程项目年度安排工作按计划完成率＝100%</w:t>
            </w:r>
          </w:p>
        </w:tc>
        <w:tc>
          <w:tcPr>
            <w:tcW w:w="0" w:type="auto"/>
            <w:shd w:val="clear" w:color="auto" w:fill="auto"/>
            <w:vAlign w:val="center"/>
          </w:tcPr>
          <w:p w14:paraId="0666627C">
            <w:pPr>
              <w:keepNext w:val="0"/>
              <w:keepLines w:val="0"/>
              <w:widowControl/>
              <w:suppressLineNumbers w:val="0"/>
              <w:shd w:val="clear"/>
              <w:jc w:val="righ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6734945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44785940">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1FEA7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E6161AB">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794846BC">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1B37117D">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时效指标</w:t>
            </w:r>
          </w:p>
        </w:tc>
        <w:tc>
          <w:tcPr>
            <w:tcW w:w="0" w:type="auto"/>
            <w:shd w:val="clear" w:color="auto" w:fill="auto"/>
            <w:vAlign w:val="center"/>
          </w:tcPr>
          <w:p w14:paraId="420C3814">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评审工作的及时性＝100%</w:t>
            </w:r>
          </w:p>
        </w:tc>
        <w:tc>
          <w:tcPr>
            <w:tcW w:w="0" w:type="auto"/>
            <w:shd w:val="clear" w:color="auto" w:fill="auto"/>
            <w:vAlign w:val="center"/>
          </w:tcPr>
          <w:p w14:paraId="4FCD9D9D">
            <w:pPr>
              <w:keepNext w:val="0"/>
              <w:keepLines w:val="0"/>
              <w:widowControl/>
              <w:suppressLineNumbers w:val="0"/>
              <w:shd w:val="clear"/>
              <w:jc w:val="righ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5E7A52E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3E40664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3310E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59B86DE9">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0FEFF6C5">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017F4B88">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时效指标</w:t>
            </w:r>
          </w:p>
        </w:tc>
        <w:tc>
          <w:tcPr>
            <w:tcW w:w="0" w:type="auto"/>
            <w:shd w:val="clear" w:color="auto" w:fill="auto"/>
            <w:vAlign w:val="center"/>
          </w:tcPr>
          <w:p w14:paraId="3D365A09">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课题按计划结题率≥85%</w:t>
            </w:r>
          </w:p>
        </w:tc>
        <w:tc>
          <w:tcPr>
            <w:tcW w:w="0" w:type="auto"/>
            <w:shd w:val="clear" w:color="auto" w:fill="auto"/>
            <w:vAlign w:val="center"/>
          </w:tcPr>
          <w:p w14:paraId="746A99A0">
            <w:pPr>
              <w:keepNext w:val="0"/>
              <w:keepLines w:val="0"/>
              <w:widowControl/>
              <w:suppressLineNumbers w:val="0"/>
              <w:shd w:val="clear"/>
              <w:jc w:val="righ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556E3EC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4245341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609FF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DE72498">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0873F05A">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2F62B4F0">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时效指标</w:t>
            </w:r>
          </w:p>
        </w:tc>
        <w:tc>
          <w:tcPr>
            <w:tcW w:w="0" w:type="auto"/>
            <w:shd w:val="clear" w:color="auto" w:fill="auto"/>
            <w:vAlign w:val="center"/>
          </w:tcPr>
          <w:p w14:paraId="58CC1697">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项目按计划完成率＝100%</w:t>
            </w:r>
          </w:p>
        </w:tc>
        <w:tc>
          <w:tcPr>
            <w:tcW w:w="0" w:type="auto"/>
            <w:shd w:val="clear" w:color="auto" w:fill="auto"/>
            <w:vAlign w:val="center"/>
          </w:tcPr>
          <w:p w14:paraId="6AC7F872">
            <w:pPr>
              <w:keepNext w:val="0"/>
              <w:keepLines w:val="0"/>
              <w:widowControl/>
              <w:suppressLineNumbers w:val="0"/>
              <w:shd w:val="clear"/>
              <w:jc w:val="righ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6318A28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4752649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00AFB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083E451B">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27000EF7">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365F343D">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时效指标</w:t>
            </w:r>
          </w:p>
        </w:tc>
        <w:tc>
          <w:tcPr>
            <w:tcW w:w="0" w:type="auto"/>
            <w:shd w:val="clear" w:color="auto" w:fill="auto"/>
            <w:vAlign w:val="center"/>
          </w:tcPr>
          <w:p w14:paraId="62315E9D">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各项工作按时完成率＝100%</w:t>
            </w:r>
          </w:p>
        </w:tc>
        <w:tc>
          <w:tcPr>
            <w:tcW w:w="0" w:type="auto"/>
            <w:shd w:val="clear" w:color="auto" w:fill="auto"/>
            <w:vAlign w:val="center"/>
          </w:tcPr>
          <w:p w14:paraId="3AC6109A">
            <w:pPr>
              <w:keepNext w:val="0"/>
              <w:keepLines w:val="0"/>
              <w:widowControl/>
              <w:suppressLineNumbers w:val="0"/>
              <w:shd w:val="clear"/>
              <w:jc w:val="righ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7886606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c>
          <w:tcPr>
            <w:tcW w:w="0" w:type="auto"/>
            <w:shd w:val="clear" w:color="auto" w:fill="auto"/>
            <w:vAlign w:val="center"/>
          </w:tcPr>
          <w:p w14:paraId="2F6439A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0.50</w:t>
            </w:r>
          </w:p>
        </w:tc>
      </w:tr>
      <w:tr w14:paraId="19BDC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F46A031">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restart"/>
            <w:shd w:val="clear" w:color="auto" w:fill="auto"/>
            <w:vAlign w:val="center"/>
          </w:tcPr>
          <w:p w14:paraId="54DADA89">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效果（30）</w:t>
            </w:r>
          </w:p>
        </w:tc>
        <w:tc>
          <w:tcPr>
            <w:tcW w:w="0" w:type="auto"/>
            <w:shd w:val="clear" w:color="auto" w:fill="FFFFFF"/>
            <w:vAlign w:val="center"/>
          </w:tcPr>
          <w:p w14:paraId="1C123C72">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社会效益指标</w:t>
            </w:r>
          </w:p>
        </w:tc>
        <w:tc>
          <w:tcPr>
            <w:tcW w:w="0" w:type="auto"/>
            <w:shd w:val="clear" w:color="auto" w:fill="auto"/>
            <w:vAlign w:val="center"/>
          </w:tcPr>
          <w:p w14:paraId="4F015D65">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提高档案调阅效率及保障档案完整</w:t>
            </w:r>
          </w:p>
        </w:tc>
        <w:tc>
          <w:tcPr>
            <w:tcW w:w="0" w:type="auto"/>
            <w:shd w:val="clear" w:color="auto" w:fill="auto"/>
            <w:vAlign w:val="center"/>
          </w:tcPr>
          <w:p w14:paraId="466B6A6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得到提高</w:t>
            </w:r>
          </w:p>
        </w:tc>
        <w:tc>
          <w:tcPr>
            <w:tcW w:w="0" w:type="auto"/>
            <w:shd w:val="clear" w:color="auto" w:fill="auto"/>
            <w:vAlign w:val="center"/>
          </w:tcPr>
          <w:p w14:paraId="03B974D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w:t>
            </w:r>
          </w:p>
        </w:tc>
        <w:tc>
          <w:tcPr>
            <w:tcW w:w="0" w:type="auto"/>
            <w:shd w:val="clear" w:color="auto" w:fill="auto"/>
            <w:vAlign w:val="center"/>
          </w:tcPr>
          <w:p w14:paraId="1F6E480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w:t>
            </w:r>
          </w:p>
        </w:tc>
      </w:tr>
      <w:tr w14:paraId="35979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067F6884">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536AA5C8">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FFFFFF"/>
            <w:vAlign w:val="center"/>
          </w:tcPr>
          <w:p w14:paraId="21B6CBD6">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社会效益指标</w:t>
            </w:r>
          </w:p>
        </w:tc>
        <w:tc>
          <w:tcPr>
            <w:tcW w:w="0" w:type="auto"/>
            <w:shd w:val="clear" w:color="auto" w:fill="auto"/>
            <w:vAlign w:val="center"/>
          </w:tcPr>
          <w:p w14:paraId="718F8E33">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继续深化法治政府建设，全面推进依法行政高</w:t>
            </w:r>
          </w:p>
        </w:tc>
        <w:tc>
          <w:tcPr>
            <w:tcW w:w="0" w:type="auto"/>
            <w:shd w:val="clear" w:color="auto" w:fill="auto"/>
            <w:vAlign w:val="center"/>
          </w:tcPr>
          <w:p w14:paraId="62984AEF">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持续深化</w:t>
            </w:r>
          </w:p>
        </w:tc>
        <w:tc>
          <w:tcPr>
            <w:tcW w:w="0" w:type="auto"/>
            <w:shd w:val="clear" w:color="auto" w:fill="auto"/>
            <w:vAlign w:val="center"/>
          </w:tcPr>
          <w:p w14:paraId="1C5799C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w:t>
            </w:r>
          </w:p>
        </w:tc>
        <w:tc>
          <w:tcPr>
            <w:tcW w:w="0" w:type="auto"/>
            <w:shd w:val="clear" w:color="auto" w:fill="auto"/>
            <w:vAlign w:val="center"/>
          </w:tcPr>
          <w:p w14:paraId="3A467BA0">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w:t>
            </w:r>
          </w:p>
        </w:tc>
      </w:tr>
      <w:tr w14:paraId="4E489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0427E14B">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65029096">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FFFFFF"/>
            <w:vAlign w:val="center"/>
          </w:tcPr>
          <w:p w14:paraId="231D2D21">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社会效益指标</w:t>
            </w:r>
          </w:p>
        </w:tc>
        <w:tc>
          <w:tcPr>
            <w:tcW w:w="0" w:type="auto"/>
            <w:shd w:val="clear" w:color="auto" w:fill="auto"/>
            <w:vAlign w:val="center"/>
          </w:tcPr>
          <w:p w14:paraId="31CB9AFA">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行业部门合同管理得到保障，做好决策合法性审查工作，文物保护法律意识得到提升和保障</w:t>
            </w:r>
          </w:p>
        </w:tc>
        <w:tc>
          <w:tcPr>
            <w:tcW w:w="0" w:type="auto"/>
            <w:shd w:val="clear" w:color="auto" w:fill="auto"/>
            <w:vAlign w:val="center"/>
          </w:tcPr>
          <w:p w14:paraId="7E24E73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得到保障</w:t>
            </w:r>
          </w:p>
        </w:tc>
        <w:tc>
          <w:tcPr>
            <w:tcW w:w="0" w:type="auto"/>
            <w:shd w:val="clear" w:color="auto" w:fill="auto"/>
            <w:vAlign w:val="center"/>
          </w:tcPr>
          <w:p w14:paraId="4E64EBF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w:t>
            </w:r>
          </w:p>
        </w:tc>
        <w:tc>
          <w:tcPr>
            <w:tcW w:w="0" w:type="auto"/>
            <w:shd w:val="clear" w:color="auto" w:fill="auto"/>
            <w:vAlign w:val="center"/>
          </w:tcPr>
          <w:p w14:paraId="6CC957F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2.50</w:t>
            </w:r>
          </w:p>
        </w:tc>
      </w:tr>
      <w:tr w14:paraId="409B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A45B26D">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57794326">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FFFFFF"/>
            <w:vAlign w:val="center"/>
          </w:tcPr>
          <w:p w14:paraId="5AFA7AF9">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社会效益指标</w:t>
            </w:r>
          </w:p>
        </w:tc>
        <w:tc>
          <w:tcPr>
            <w:tcW w:w="0" w:type="auto"/>
            <w:shd w:val="clear" w:color="auto" w:fill="auto"/>
            <w:vAlign w:val="center"/>
          </w:tcPr>
          <w:p w14:paraId="258406DE">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提升政务服务事项便利化水平，加强对政务服务事项“全程网办”的宣传和推广，增强办事企业和群众的获得感。</w:t>
            </w:r>
          </w:p>
        </w:tc>
        <w:tc>
          <w:tcPr>
            <w:tcW w:w="0" w:type="auto"/>
            <w:shd w:val="clear" w:color="auto" w:fill="auto"/>
            <w:vAlign w:val="center"/>
          </w:tcPr>
          <w:p w14:paraId="3342FEE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得到提升</w:t>
            </w:r>
          </w:p>
        </w:tc>
        <w:tc>
          <w:tcPr>
            <w:tcW w:w="0" w:type="auto"/>
            <w:shd w:val="clear" w:color="auto" w:fill="auto"/>
            <w:vAlign w:val="center"/>
          </w:tcPr>
          <w:p w14:paraId="5AA91DD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w:t>
            </w:r>
          </w:p>
        </w:tc>
        <w:tc>
          <w:tcPr>
            <w:tcW w:w="0" w:type="auto"/>
            <w:shd w:val="clear" w:color="auto" w:fill="auto"/>
            <w:vAlign w:val="center"/>
          </w:tcPr>
          <w:p w14:paraId="73694FD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2.50</w:t>
            </w:r>
          </w:p>
        </w:tc>
      </w:tr>
      <w:tr w14:paraId="562AC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2ACF06BA">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368A939">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FFFFFF"/>
            <w:vAlign w:val="center"/>
          </w:tcPr>
          <w:p w14:paraId="7F728D26">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社会效益指标</w:t>
            </w:r>
          </w:p>
        </w:tc>
        <w:tc>
          <w:tcPr>
            <w:tcW w:w="0" w:type="auto"/>
            <w:shd w:val="clear" w:color="auto" w:fill="auto"/>
            <w:vAlign w:val="center"/>
          </w:tcPr>
          <w:p w14:paraId="10C9AACF">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促进革命文物保护与传承得到促进</w:t>
            </w:r>
          </w:p>
        </w:tc>
        <w:tc>
          <w:tcPr>
            <w:tcW w:w="0" w:type="auto"/>
            <w:shd w:val="clear" w:color="auto" w:fill="auto"/>
            <w:vAlign w:val="center"/>
          </w:tcPr>
          <w:p w14:paraId="43DA66A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有效促进</w:t>
            </w:r>
          </w:p>
        </w:tc>
        <w:tc>
          <w:tcPr>
            <w:tcW w:w="0" w:type="auto"/>
            <w:shd w:val="clear" w:color="auto" w:fill="auto"/>
            <w:vAlign w:val="center"/>
          </w:tcPr>
          <w:p w14:paraId="6B7404B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w:t>
            </w:r>
          </w:p>
        </w:tc>
        <w:tc>
          <w:tcPr>
            <w:tcW w:w="0" w:type="auto"/>
            <w:shd w:val="clear" w:color="auto" w:fill="auto"/>
            <w:vAlign w:val="center"/>
          </w:tcPr>
          <w:p w14:paraId="75AC9D0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2.50</w:t>
            </w:r>
          </w:p>
        </w:tc>
      </w:tr>
      <w:tr w14:paraId="0F666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08598785">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5A9982B8">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FFFFFF"/>
            <w:vAlign w:val="center"/>
          </w:tcPr>
          <w:p w14:paraId="40C73FA9">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社会效益指标</w:t>
            </w:r>
          </w:p>
        </w:tc>
        <w:tc>
          <w:tcPr>
            <w:tcW w:w="0" w:type="auto"/>
            <w:shd w:val="clear" w:color="auto" w:fill="auto"/>
            <w:vAlign w:val="center"/>
          </w:tcPr>
          <w:p w14:paraId="015BDF3C">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为文物保护事业发展提供有效支撑高</w:t>
            </w:r>
          </w:p>
        </w:tc>
        <w:tc>
          <w:tcPr>
            <w:tcW w:w="0" w:type="auto"/>
            <w:shd w:val="clear" w:color="auto" w:fill="auto"/>
            <w:vAlign w:val="center"/>
          </w:tcPr>
          <w:p w14:paraId="26E5F71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得到支撑</w:t>
            </w:r>
          </w:p>
        </w:tc>
        <w:tc>
          <w:tcPr>
            <w:tcW w:w="0" w:type="auto"/>
            <w:shd w:val="clear" w:color="auto" w:fill="auto"/>
            <w:vAlign w:val="center"/>
          </w:tcPr>
          <w:p w14:paraId="4B939FE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w:t>
            </w:r>
          </w:p>
        </w:tc>
        <w:tc>
          <w:tcPr>
            <w:tcW w:w="0" w:type="auto"/>
            <w:shd w:val="clear" w:color="auto" w:fill="auto"/>
            <w:vAlign w:val="center"/>
          </w:tcPr>
          <w:p w14:paraId="3CEF28E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2.50</w:t>
            </w:r>
          </w:p>
        </w:tc>
      </w:tr>
      <w:tr w14:paraId="265E3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35B4A45">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1152C189">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FFFFFF"/>
            <w:vAlign w:val="center"/>
          </w:tcPr>
          <w:p w14:paraId="5307D6D1">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社会效益指标</w:t>
            </w:r>
          </w:p>
        </w:tc>
        <w:tc>
          <w:tcPr>
            <w:tcW w:w="0" w:type="auto"/>
            <w:shd w:val="clear" w:color="auto" w:fill="auto"/>
            <w:vAlign w:val="center"/>
          </w:tcPr>
          <w:p w14:paraId="3985F698">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通过宣传活动营造良好的文化文物氛围。</w:t>
            </w:r>
          </w:p>
        </w:tc>
        <w:tc>
          <w:tcPr>
            <w:tcW w:w="0" w:type="auto"/>
            <w:shd w:val="clear" w:color="auto" w:fill="auto"/>
            <w:vAlign w:val="center"/>
          </w:tcPr>
          <w:p w14:paraId="60B1CAC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活动效果好</w:t>
            </w:r>
          </w:p>
        </w:tc>
        <w:tc>
          <w:tcPr>
            <w:tcW w:w="0" w:type="auto"/>
            <w:shd w:val="clear" w:color="auto" w:fill="auto"/>
            <w:vAlign w:val="center"/>
          </w:tcPr>
          <w:p w14:paraId="366AAD9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w:t>
            </w:r>
          </w:p>
        </w:tc>
        <w:tc>
          <w:tcPr>
            <w:tcW w:w="0" w:type="auto"/>
            <w:shd w:val="clear" w:color="auto" w:fill="auto"/>
            <w:vAlign w:val="center"/>
          </w:tcPr>
          <w:p w14:paraId="74A8147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w:t>
            </w:r>
          </w:p>
        </w:tc>
      </w:tr>
      <w:tr w14:paraId="45358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4C0E1DBD">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626D4ADC">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FFFFFF"/>
            <w:vAlign w:val="center"/>
          </w:tcPr>
          <w:p w14:paraId="27CB298A">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社会效益指标</w:t>
            </w:r>
          </w:p>
        </w:tc>
        <w:tc>
          <w:tcPr>
            <w:tcW w:w="0" w:type="auto"/>
            <w:shd w:val="clear" w:color="auto" w:fill="auto"/>
            <w:vAlign w:val="center"/>
          </w:tcPr>
          <w:p w14:paraId="082DD2C6">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提升北京市文物局系统从业人员素质优</w:t>
            </w:r>
          </w:p>
        </w:tc>
        <w:tc>
          <w:tcPr>
            <w:tcW w:w="0" w:type="auto"/>
            <w:shd w:val="clear" w:color="auto" w:fill="auto"/>
            <w:vAlign w:val="center"/>
          </w:tcPr>
          <w:p w14:paraId="585A833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得到提升</w:t>
            </w:r>
          </w:p>
        </w:tc>
        <w:tc>
          <w:tcPr>
            <w:tcW w:w="0" w:type="auto"/>
            <w:shd w:val="clear" w:color="auto" w:fill="auto"/>
            <w:vAlign w:val="center"/>
          </w:tcPr>
          <w:p w14:paraId="4532913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w:t>
            </w:r>
          </w:p>
        </w:tc>
        <w:tc>
          <w:tcPr>
            <w:tcW w:w="0" w:type="auto"/>
            <w:shd w:val="clear" w:color="auto" w:fill="auto"/>
            <w:vAlign w:val="center"/>
          </w:tcPr>
          <w:p w14:paraId="3568E3D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w:t>
            </w:r>
          </w:p>
        </w:tc>
      </w:tr>
      <w:tr w14:paraId="2D562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4E7928F">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2ED8EB3C">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FFFFFF"/>
            <w:vAlign w:val="center"/>
          </w:tcPr>
          <w:p w14:paraId="2C4325A0">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可持续影响指标</w:t>
            </w:r>
          </w:p>
        </w:tc>
        <w:tc>
          <w:tcPr>
            <w:tcW w:w="0" w:type="auto"/>
            <w:shd w:val="clear" w:color="auto" w:fill="auto"/>
            <w:vAlign w:val="center"/>
          </w:tcPr>
          <w:p w14:paraId="4C096AD4">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通过实施文物修缮和环境整治工程，改善文物保护环境。</w:t>
            </w:r>
          </w:p>
        </w:tc>
        <w:tc>
          <w:tcPr>
            <w:tcW w:w="0" w:type="auto"/>
            <w:shd w:val="clear" w:color="auto" w:fill="auto"/>
            <w:vAlign w:val="center"/>
          </w:tcPr>
          <w:p w14:paraId="29A0314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得到改善</w:t>
            </w:r>
          </w:p>
        </w:tc>
        <w:tc>
          <w:tcPr>
            <w:tcW w:w="0" w:type="auto"/>
            <w:shd w:val="clear" w:color="auto" w:fill="auto"/>
            <w:vAlign w:val="center"/>
          </w:tcPr>
          <w:p w14:paraId="6D843150">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w:t>
            </w:r>
          </w:p>
        </w:tc>
        <w:tc>
          <w:tcPr>
            <w:tcW w:w="0" w:type="auto"/>
            <w:shd w:val="clear" w:color="auto" w:fill="auto"/>
            <w:vAlign w:val="center"/>
          </w:tcPr>
          <w:p w14:paraId="65F0C1C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w:t>
            </w:r>
          </w:p>
        </w:tc>
      </w:tr>
      <w:tr w14:paraId="0F3D8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13ACE829">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727D5899">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FFFFFF"/>
            <w:vAlign w:val="center"/>
          </w:tcPr>
          <w:p w14:paraId="71D92B95">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经济效益指标</w:t>
            </w:r>
          </w:p>
        </w:tc>
        <w:tc>
          <w:tcPr>
            <w:tcW w:w="0" w:type="auto"/>
            <w:shd w:val="clear" w:color="auto" w:fill="auto"/>
            <w:vAlign w:val="center"/>
          </w:tcPr>
          <w:p w14:paraId="13339EA1">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为土地储备和保障房建设提供考古保障，指导实施相关遗址保护工程优</w:t>
            </w:r>
          </w:p>
        </w:tc>
        <w:tc>
          <w:tcPr>
            <w:tcW w:w="0" w:type="auto"/>
            <w:shd w:val="clear" w:color="auto" w:fill="auto"/>
            <w:vAlign w:val="center"/>
          </w:tcPr>
          <w:p w14:paraId="4A86156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得到优化</w:t>
            </w:r>
          </w:p>
        </w:tc>
        <w:tc>
          <w:tcPr>
            <w:tcW w:w="0" w:type="auto"/>
            <w:shd w:val="clear" w:color="auto" w:fill="auto"/>
            <w:vAlign w:val="center"/>
          </w:tcPr>
          <w:p w14:paraId="1E2498C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w:t>
            </w:r>
          </w:p>
        </w:tc>
        <w:tc>
          <w:tcPr>
            <w:tcW w:w="0" w:type="auto"/>
            <w:shd w:val="clear" w:color="auto" w:fill="auto"/>
            <w:vAlign w:val="center"/>
          </w:tcPr>
          <w:p w14:paraId="6BD5731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w:t>
            </w:r>
          </w:p>
        </w:tc>
      </w:tr>
      <w:tr w14:paraId="095CD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68CA308A">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5813803">
            <w:pPr>
              <w:shd w:val="clear"/>
              <w:jc w:val="left"/>
              <w:rPr>
                <w:rFonts w:hint="default" w:ascii="Times New Roman" w:hAnsi="Times New Roman" w:eastAsia="宋体" w:cs="Times New Roman"/>
                <w:i w:val="0"/>
                <w:iCs w:val="0"/>
                <w:color w:val="auto"/>
                <w:sz w:val="18"/>
                <w:szCs w:val="18"/>
                <w:highlight w:val="none"/>
                <w:u w:val="none"/>
              </w:rPr>
            </w:pPr>
          </w:p>
        </w:tc>
        <w:tc>
          <w:tcPr>
            <w:tcW w:w="0" w:type="auto"/>
            <w:shd w:val="clear" w:color="auto" w:fill="FFFFFF"/>
            <w:vAlign w:val="center"/>
          </w:tcPr>
          <w:p w14:paraId="648DE4AF">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服务对象满意度指标</w:t>
            </w:r>
          </w:p>
        </w:tc>
        <w:tc>
          <w:tcPr>
            <w:tcW w:w="0" w:type="auto"/>
            <w:shd w:val="clear" w:color="auto" w:fill="auto"/>
            <w:vAlign w:val="center"/>
          </w:tcPr>
          <w:p w14:paraId="280AD773">
            <w:pPr>
              <w:keepNext w:val="0"/>
              <w:keepLines w:val="0"/>
              <w:widowControl/>
              <w:suppressLineNumbers w:val="0"/>
              <w:shd w:val="clear"/>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行政相对人满意度≥85%</w:t>
            </w:r>
          </w:p>
        </w:tc>
        <w:tc>
          <w:tcPr>
            <w:tcW w:w="0" w:type="auto"/>
            <w:shd w:val="clear" w:color="auto" w:fill="auto"/>
            <w:vAlign w:val="center"/>
          </w:tcPr>
          <w:p w14:paraId="3C01B26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满意</w:t>
            </w:r>
          </w:p>
        </w:tc>
        <w:tc>
          <w:tcPr>
            <w:tcW w:w="0" w:type="auto"/>
            <w:shd w:val="clear" w:color="auto" w:fill="auto"/>
            <w:vAlign w:val="center"/>
          </w:tcPr>
          <w:p w14:paraId="107D8D1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w:t>
            </w:r>
          </w:p>
        </w:tc>
        <w:tc>
          <w:tcPr>
            <w:tcW w:w="0" w:type="auto"/>
            <w:shd w:val="clear" w:color="auto" w:fill="auto"/>
            <w:vAlign w:val="center"/>
          </w:tcPr>
          <w:p w14:paraId="44D59F2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2.70</w:t>
            </w:r>
          </w:p>
        </w:tc>
      </w:tr>
      <w:tr w14:paraId="5843D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shd w:val="clear" w:color="auto" w:fill="auto"/>
            <w:vAlign w:val="center"/>
          </w:tcPr>
          <w:p w14:paraId="22F00E93">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一级指标</w:t>
            </w:r>
          </w:p>
        </w:tc>
        <w:tc>
          <w:tcPr>
            <w:tcW w:w="0" w:type="auto"/>
            <w:shd w:val="clear" w:color="auto" w:fill="auto"/>
            <w:vAlign w:val="center"/>
          </w:tcPr>
          <w:p w14:paraId="1B3469B4">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二级指标</w:t>
            </w:r>
          </w:p>
        </w:tc>
        <w:tc>
          <w:tcPr>
            <w:tcW w:w="0" w:type="auto"/>
            <w:shd w:val="clear" w:color="auto" w:fill="auto"/>
            <w:vAlign w:val="center"/>
          </w:tcPr>
          <w:p w14:paraId="471720B5">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三级指标</w:t>
            </w:r>
          </w:p>
        </w:tc>
        <w:tc>
          <w:tcPr>
            <w:tcW w:w="0" w:type="auto"/>
            <w:shd w:val="clear" w:color="auto" w:fill="auto"/>
            <w:vAlign w:val="center"/>
          </w:tcPr>
          <w:p w14:paraId="75C170FA">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指标值</w:t>
            </w:r>
          </w:p>
        </w:tc>
        <w:tc>
          <w:tcPr>
            <w:tcW w:w="0" w:type="auto"/>
            <w:shd w:val="clear" w:color="auto" w:fill="auto"/>
            <w:vAlign w:val="center"/>
          </w:tcPr>
          <w:p w14:paraId="6BB45D95">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完成值</w:t>
            </w:r>
          </w:p>
        </w:tc>
        <w:tc>
          <w:tcPr>
            <w:tcW w:w="0" w:type="auto"/>
            <w:shd w:val="clear" w:color="auto" w:fill="auto"/>
            <w:vAlign w:val="center"/>
          </w:tcPr>
          <w:p w14:paraId="6E4DCE03">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分值</w:t>
            </w:r>
          </w:p>
        </w:tc>
        <w:tc>
          <w:tcPr>
            <w:tcW w:w="0" w:type="auto"/>
            <w:shd w:val="clear" w:color="auto" w:fill="auto"/>
            <w:vAlign w:val="center"/>
          </w:tcPr>
          <w:p w14:paraId="55F80EE2">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得分</w:t>
            </w:r>
          </w:p>
        </w:tc>
      </w:tr>
      <w:tr w14:paraId="673CC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restart"/>
            <w:shd w:val="clear" w:color="auto" w:fill="auto"/>
            <w:vAlign w:val="center"/>
          </w:tcPr>
          <w:p w14:paraId="307610A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预算管理情况（20）</w:t>
            </w:r>
          </w:p>
        </w:tc>
        <w:tc>
          <w:tcPr>
            <w:tcW w:w="0" w:type="auto"/>
            <w:vMerge w:val="restart"/>
            <w:shd w:val="clear" w:color="auto" w:fill="auto"/>
            <w:vAlign w:val="center"/>
          </w:tcPr>
          <w:p w14:paraId="7CB1A27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财务管理（4)</w:t>
            </w:r>
          </w:p>
        </w:tc>
        <w:tc>
          <w:tcPr>
            <w:tcW w:w="0" w:type="auto"/>
            <w:shd w:val="clear" w:color="auto" w:fill="auto"/>
            <w:vAlign w:val="center"/>
          </w:tcPr>
          <w:p w14:paraId="255B604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财务管理制度健全性</w:t>
            </w:r>
          </w:p>
        </w:tc>
        <w:tc>
          <w:tcPr>
            <w:tcW w:w="0" w:type="auto"/>
            <w:shd w:val="clear" w:color="auto" w:fill="auto"/>
            <w:vAlign w:val="center"/>
          </w:tcPr>
          <w:p w14:paraId="53FC32D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健全、完整、合规</w:t>
            </w:r>
          </w:p>
        </w:tc>
        <w:tc>
          <w:tcPr>
            <w:tcW w:w="0" w:type="auto"/>
            <w:shd w:val="clear" w:color="auto" w:fill="auto"/>
            <w:vAlign w:val="center"/>
          </w:tcPr>
          <w:p w14:paraId="119DB98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健全、完整、合规</w:t>
            </w:r>
          </w:p>
        </w:tc>
        <w:tc>
          <w:tcPr>
            <w:tcW w:w="0" w:type="auto"/>
            <w:shd w:val="clear" w:color="auto" w:fill="auto"/>
            <w:vAlign w:val="center"/>
          </w:tcPr>
          <w:p w14:paraId="02E61E2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4670477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r>
      <w:tr w14:paraId="41899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1366E13B">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61A1AF81">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2276AFA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资金使用合规性和安全性</w:t>
            </w:r>
          </w:p>
        </w:tc>
        <w:tc>
          <w:tcPr>
            <w:tcW w:w="0" w:type="auto"/>
            <w:shd w:val="clear" w:color="auto" w:fill="auto"/>
            <w:vAlign w:val="center"/>
          </w:tcPr>
          <w:p w14:paraId="3562790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合规、安全</w:t>
            </w:r>
          </w:p>
        </w:tc>
        <w:tc>
          <w:tcPr>
            <w:tcW w:w="0" w:type="auto"/>
            <w:shd w:val="clear" w:color="auto" w:fill="auto"/>
            <w:vAlign w:val="center"/>
          </w:tcPr>
          <w:p w14:paraId="11D9A0C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合规、安全</w:t>
            </w:r>
          </w:p>
        </w:tc>
        <w:tc>
          <w:tcPr>
            <w:tcW w:w="0" w:type="auto"/>
            <w:shd w:val="clear" w:color="auto" w:fill="auto"/>
            <w:vAlign w:val="center"/>
          </w:tcPr>
          <w:p w14:paraId="159D40B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w:t>
            </w:r>
          </w:p>
        </w:tc>
        <w:tc>
          <w:tcPr>
            <w:tcW w:w="0" w:type="auto"/>
            <w:shd w:val="clear" w:color="auto" w:fill="auto"/>
            <w:vAlign w:val="center"/>
          </w:tcPr>
          <w:p w14:paraId="6429EC0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2.00</w:t>
            </w:r>
          </w:p>
        </w:tc>
      </w:tr>
      <w:tr w14:paraId="741DE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244D45F8">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0A1C4D59">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240D26F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会计基础信息完善性</w:t>
            </w:r>
          </w:p>
        </w:tc>
        <w:tc>
          <w:tcPr>
            <w:tcW w:w="0" w:type="auto"/>
            <w:shd w:val="clear" w:color="auto" w:fill="auto"/>
            <w:vAlign w:val="center"/>
          </w:tcPr>
          <w:p w14:paraId="02305D2A">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完整、准确</w:t>
            </w:r>
          </w:p>
        </w:tc>
        <w:tc>
          <w:tcPr>
            <w:tcW w:w="0" w:type="auto"/>
            <w:shd w:val="clear" w:color="auto" w:fill="auto"/>
            <w:vAlign w:val="center"/>
          </w:tcPr>
          <w:p w14:paraId="09E9B25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完整、准确</w:t>
            </w:r>
          </w:p>
        </w:tc>
        <w:tc>
          <w:tcPr>
            <w:tcW w:w="0" w:type="auto"/>
            <w:shd w:val="clear" w:color="auto" w:fill="auto"/>
            <w:vAlign w:val="center"/>
          </w:tcPr>
          <w:p w14:paraId="2A6958E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0" w:type="auto"/>
            <w:shd w:val="clear" w:color="auto" w:fill="auto"/>
            <w:vAlign w:val="center"/>
          </w:tcPr>
          <w:p w14:paraId="6E188A6B">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r>
      <w:tr w14:paraId="1A5BE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166FDC67">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5C775A4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资产管理（4）</w:t>
            </w:r>
          </w:p>
        </w:tc>
        <w:tc>
          <w:tcPr>
            <w:tcW w:w="0" w:type="auto"/>
            <w:shd w:val="clear" w:color="auto" w:fill="auto"/>
            <w:vAlign w:val="center"/>
          </w:tcPr>
          <w:p w14:paraId="5D7F998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资产管理规范性</w:t>
            </w:r>
          </w:p>
        </w:tc>
        <w:tc>
          <w:tcPr>
            <w:tcW w:w="0" w:type="auto"/>
            <w:shd w:val="clear" w:color="auto" w:fill="auto"/>
            <w:vAlign w:val="center"/>
          </w:tcPr>
          <w:p w14:paraId="312AED46">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规范</w:t>
            </w:r>
          </w:p>
        </w:tc>
        <w:tc>
          <w:tcPr>
            <w:tcW w:w="0" w:type="auto"/>
            <w:shd w:val="clear" w:color="auto" w:fill="auto"/>
            <w:vAlign w:val="center"/>
          </w:tcPr>
          <w:p w14:paraId="23DB3B2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规范</w:t>
            </w:r>
          </w:p>
        </w:tc>
        <w:tc>
          <w:tcPr>
            <w:tcW w:w="0" w:type="auto"/>
            <w:shd w:val="clear" w:color="auto" w:fill="auto"/>
            <w:vAlign w:val="center"/>
          </w:tcPr>
          <w:p w14:paraId="0AF7963D">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4.00</w:t>
            </w:r>
          </w:p>
        </w:tc>
        <w:tc>
          <w:tcPr>
            <w:tcW w:w="0" w:type="auto"/>
            <w:shd w:val="clear" w:color="auto" w:fill="auto"/>
            <w:vAlign w:val="center"/>
          </w:tcPr>
          <w:p w14:paraId="71E6B22E">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4.00</w:t>
            </w:r>
          </w:p>
        </w:tc>
      </w:tr>
      <w:tr w14:paraId="56865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03BE0F94">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3B35EC7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绩效管理（4）</w:t>
            </w:r>
          </w:p>
        </w:tc>
        <w:tc>
          <w:tcPr>
            <w:tcW w:w="0" w:type="auto"/>
            <w:shd w:val="clear" w:color="auto" w:fill="auto"/>
            <w:vAlign w:val="center"/>
          </w:tcPr>
          <w:p w14:paraId="0E7A932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绩效管理情况</w:t>
            </w:r>
          </w:p>
        </w:tc>
        <w:tc>
          <w:tcPr>
            <w:tcW w:w="0" w:type="auto"/>
            <w:shd w:val="clear" w:color="auto" w:fill="auto"/>
            <w:vAlign w:val="center"/>
          </w:tcPr>
          <w:p w14:paraId="7856F94C">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及时、有效</w:t>
            </w:r>
          </w:p>
        </w:tc>
        <w:tc>
          <w:tcPr>
            <w:tcW w:w="0" w:type="auto"/>
            <w:shd w:val="clear" w:color="auto" w:fill="auto"/>
            <w:vAlign w:val="center"/>
          </w:tcPr>
          <w:p w14:paraId="549A4564">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及时、有效</w:t>
            </w:r>
          </w:p>
        </w:tc>
        <w:tc>
          <w:tcPr>
            <w:tcW w:w="0" w:type="auto"/>
            <w:shd w:val="clear" w:color="auto" w:fill="auto"/>
            <w:vAlign w:val="center"/>
          </w:tcPr>
          <w:p w14:paraId="4EF37CF2">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4.00</w:t>
            </w:r>
          </w:p>
        </w:tc>
        <w:tc>
          <w:tcPr>
            <w:tcW w:w="0" w:type="auto"/>
            <w:shd w:val="clear" w:color="auto" w:fill="auto"/>
            <w:vAlign w:val="center"/>
          </w:tcPr>
          <w:p w14:paraId="524AF907">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4.00</w:t>
            </w:r>
          </w:p>
        </w:tc>
      </w:tr>
      <w:tr w14:paraId="11495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34B35EB4">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37E8EF24">
            <w:pPr>
              <w:keepNext w:val="0"/>
              <w:keepLines w:val="0"/>
              <w:widowControl/>
              <w:suppressLineNumbers w:val="0"/>
              <w:shd w:val="clear"/>
              <w:jc w:val="left"/>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指标</w:t>
            </w:r>
          </w:p>
        </w:tc>
        <w:tc>
          <w:tcPr>
            <w:tcW w:w="0" w:type="auto"/>
            <w:gridSpan w:val="2"/>
            <w:shd w:val="clear" w:color="auto" w:fill="auto"/>
            <w:vAlign w:val="center"/>
          </w:tcPr>
          <w:p w14:paraId="7B605137">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2023年</w:t>
            </w:r>
          </w:p>
        </w:tc>
        <w:tc>
          <w:tcPr>
            <w:tcW w:w="0" w:type="auto"/>
            <w:shd w:val="clear" w:color="auto" w:fill="auto"/>
            <w:vAlign w:val="center"/>
          </w:tcPr>
          <w:p w14:paraId="3B08A6B0">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2024年</w:t>
            </w:r>
          </w:p>
        </w:tc>
        <w:tc>
          <w:tcPr>
            <w:tcW w:w="0" w:type="auto"/>
            <w:shd w:val="clear" w:color="auto" w:fill="auto"/>
            <w:vAlign w:val="center"/>
          </w:tcPr>
          <w:p w14:paraId="4B44BACE">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分值</w:t>
            </w:r>
          </w:p>
        </w:tc>
        <w:tc>
          <w:tcPr>
            <w:tcW w:w="0" w:type="auto"/>
            <w:shd w:val="clear" w:color="auto" w:fill="auto"/>
            <w:vAlign w:val="center"/>
          </w:tcPr>
          <w:p w14:paraId="01893DEA">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得分</w:t>
            </w:r>
          </w:p>
        </w:tc>
      </w:tr>
      <w:tr w14:paraId="58A3E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720CE872">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restart"/>
            <w:shd w:val="clear" w:color="auto" w:fill="auto"/>
            <w:vAlign w:val="center"/>
          </w:tcPr>
          <w:p w14:paraId="2BD672B6">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结转结余率（4）</w:t>
            </w:r>
          </w:p>
        </w:tc>
        <w:tc>
          <w:tcPr>
            <w:tcW w:w="0" w:type="auto"/>
            <w:gridSpan w:val="2"/>
            <w:vMerge w:val="restart"/>
            <w:shd w:val="clear" w:color="auto" w:fill="auto"/>
            <w:vAlign w:val="center"/>
          </w:tcPr>
          <w:p w14:paraId="1FD8C40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37.00%</w:t>
            </w:r>
          </w:p>
        </w:tc>
        <w:tc>
          <w:tcPr>
            <w:tcW w:w="0" w:type="auto"/>
            <w:vMerge w:val="restart"/>
            <w:shd w:val="clear" w:color="auto" w:fill="auto"/>
            <w:vAlign w:val="center"/>
          </w:tcPr>
          <w:p w14:paraId="254A75A3">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38.00%</w:t>
            </w:r>
          </w:p>
        </w:tc>
        <w:tc>
          <w:tcPr>
            <w:tcW w:w="0" w:type="auto"/>
            <w:vMerge w:val="restart"/>
            <w:shd w:val="clear" w:color="auto" w:fill="auto"/>
            <w:vAlign w:val="center"/>
          </w:tcPr>
          <w:p w14:paraId="614F1E6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4.00</w:t>
            </w:r>
          </w:p>
        </w:tc>
        <w:tc>
          <w:tcPr>
            <w:tcW w:w="0" w:type="auto"/>
            <w:vMerge w:val="restart"/>
            <w:shd w:val="clear" w:color="auto" w:fill="auto"/>
            <w:vAlign w:val="center"/>
          </w:tcPr>
          <w:p w14:paraId="200FCEA8">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3.60</w:t>
            </w:r>
          </w:p>
        </w:tc>
      </w:tr>
      <w:tr w14:paraId="0332E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204F32EE">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4E54C6AB">
            <w:pPr>
              <w:shd w:val="clear"/>
              <w:jc w:val="left"/>
              <w:rPr>
                <w:rFonts w:hint="default" w:ascii="Times New Roman" w:hAnsi="Times New Roman" w:eastAsia="宋体" w:cs="Times New Roman"/>
                <w:i w:val="0"/>
                <w:iCs w:val="0"/>
                <w:color w:val="auto"/>
                <w:sz w:val="18"/>
                <w:szCs w:val="18"/>
                <w:highlight w:val="none"/>
                <w:u w:val="none"/>
              </w:rPr>
            </w:pPr>
          </w:p>
        </w:tc>
        <w:tc>
          <w:tcPr>
            <w:tcW w:w="0" w:type="auto"/>
            <w:gridSpan w:val="2"/>
            <w:vMerge w:val="continue"/>
            <w:shd w:val="clear" w:color="auto" w:fill="auto"/>
            <w:vAlign w:val="center"/>
          </w:tcPr>
          <w:p w14:paraId="1F49C591">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5E6F1DC">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392771DD">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vMerge w:val="continue"/>
            <w:shd w:val="clear" w:color="auto" w:fill="auto"/>
            <w:vAlign w:val="center"/>
          </w:tcPr>
          <w:p w14:paraId="1E293D73">
            <w:pPr>
              <w:shd w:val="clear"/>
              <w:jc w:val="center"/>
              <w:rPr>
                <w:rFonts w:hint="default" w:ascii="Times New Roman" w:hAnsi="Times New Roman" w:eastAsia="宋体" w:cs="Times New Roman"/>
                <w:i w:val="0"/>
                <w:iCs w:val="0"/>
                <w:color w:val="auto"/>
                <w:sz w:val="18"/>
                <w:szCs w:val="18"/>
                <w:highlight w:val="none"/>
                <w:u w:val="none"/>
              </w:rPr>
            </w:pPr>
          </w:p>
        </w:tc>
      </w:tr>
      <w:tr w14:paraId="52CC0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vMerge w:val="continue"/>
            <w:shd w:val="clear" w:color="auto" w:fill="auto"/>
            <w:vAlign w:val="center"/>
          </w:tcPr>
          <w:p w14:paraId="67D61DF3">
            <w:pPr>
              <w:shd w:val="clear"/>
              <w:jc w:val="center"/>
              <w:rPr>
                <w:rFonts w:hint="default" w:ascii="Times New Roman" w:hAnsi="Times New Roman" w:eastAsia="宋体" w:cs="Times New Roman"/>
                <w:i w:val="0"/>
                <w:iCs w:val="0"/>
                <w:color w:val="auto"/>
                <w:sz w:val="18"/>
                <w:szCs w:val="18"/>
                <w:highlight w:val="none"/>
                <w:u w:val="none"/>
              </w:rPr>
            </w:pPr>
          </w:p>
        </w:tc>
        <w:tc>
          <w:tcPr>
            <w:tcW w:w="0" w:type="auto"/>
            <w:shd w:val="clear" w:color="auto" w:fill="auto"/>
            <w:vAlign w:val="center"/>
          </w:tcPr>
          <w:p w14:paraId="3E0EE6DA">
            <w:pPr>
              <w:keepNext w:val="0"/>
              <w:keepLines w:val="0"/>
              <w:widowControl/>
              <w:suppressLineNumbers w:val="0"/>
              <w:shd w:val="clear"/>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部门预决算差异率（4）</w:t>
            </w:r>
          </w:p>
        </w:tc>
        <w:tc>
          <w:tcPr>
            <w:tcW w:w="0" w:type="auto"/>
            <w:gridSpan w:val="2"/>
            <w:shd w:val="clear" w:color="auto" w:fill="auto"/>
            <w:vAlign w:val="center"/>
          </w:tcPr>
          <w:p w14:paraId="6AE6A349">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0" w:type="auto"/>
            <w:shd w:val="clear" w:color="auto" w:fill="auto"/>
            <w:vAlign w:val="center"/>
          </w:tcPr>
          <w:p w14:paraId="0D048B15">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9.46%</w:t>
            </w:r>
          </w:p>
        </w:tc>
        <w:tc>
          <w:tcPr>
            <w:tcW w:w="0" w:type="auto"/>
            <w:shd w:val="clear" w:color="auto" w:fill="auto"/>
            <w:vAlign w:val="center"/>
          </w:tcPr>
          <w:p w14:paraId="79800EEB">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4.00</w:t>
            </w:r>
          </w:p>
        </w:tc>
        <w:tc>
          <w:tcPr>
            <w:tcW w:w="0" w:type="auto"/>
            <w:shd w:val="clear" w:color="auto" w:fill="auto"/>
            <w:vAlign w:val="center"/>
          </w:tcPr>
          <w:p w14:paraId="28E11081">
            <w:pPr>
              <w:keepNext w:val="0"/>
              <w:keepLines w:val="0"/>
              <w:widowControl/>
              <w:suppressLineNumbers w:val="0"/>
              <w:shd w:val="clear"/>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4.00</w:t>
            </w:r>
          </w:p>
        </w:tc>
      </w:tr>
      <w:tr w14:paraId="65D62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0" w:type="auto"/>
            <w:gridSpan w:val="5"/>
            <w:shd w:val="clear" w:color="auto" w:fill="auto"/>
            <w:vAlign w:val="center"/>
          </w:tcPr>
          <w:p w14:paraId="2237A230">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合计</w:t>
            </w:r>
          </w:p>
        </w:tc>
        <w:tc>
          <w:tcPr>
            <w:tcW w:w="0" w:type="auto"/>
            <w:shd w:val="clear" w:color="auto" w:fill="auto"/>
            <w:vAlign w:val="center"/>
          </w:tcPr>
          <w:p w14:paraId="3DD417FD">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100.00</w:t>
            </w:r>
          </w:p>
        </w:tc>
        <w:tc>
          <w:tcPr>
            <w:tcW w:w="0" w:type="auto"/>
            <w:shd w:val="clear" w:color="auto" w:fill="auto"/>
            <w:vAlign w:val="center"/>
          </w:tcPr>
          <w:p w14:paraId="31B7C4A6">
            <w:pPr>
              <w:keepNext w:val="0"/>
              <w:keepLines w:val="0"/>
              <w:widowControl/>
              <w:suppressLineNumbers w:val="0"/>
              <w:shd w:val="clear"/>
              <w:jc w:val="center"/>
              <w:textAlignment w:val="center"/>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89.60</w:t>
            </w:r>
          </w:p>
        </w:tc>
      </w:tr>
    </w:tbl>
    <w:p w14:paraId="0A851003">
      <w:pPr>
        <w:pStyle w:val="2"/>
        <w:shd w:val="clear"/>
        <w:rPr>
          <w:rFonts w:hint="default" w:ascii="Times New Roman" w:hAnsi="Times New Roman" w:eastAsia="仿宋_GB2312" w:cs="Times New Roman"/>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楷体_GBK">
    <w:altName w:val="Arial Unicode MS"/>
    <w:panose1 w:val="02000000000000000000"/>
    <w:charset w:val="86"/>
    <w:family w:val="auto"/>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6CB5A">
    <w:pPr>
      <w:pStyle w:val="2"/>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586C2C">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0586C2C">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781DE8"/>
    <w:multiLevelType w:val="singleLevel"/>
    <w:tmpl w:val="A7781DE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2B214E"/>
    <w:rsid w:val="00595ADA"/>
    <w:rsid w:val="0086194E"/>
    <w:rsid w:val="00A853FF"/>
    <w:rsid w:val="00B5301E"/>
    <w:rsid w:val="00B92AE4"/>
    <w:rsid w:val="00BC12FC"/>
    <w:rsid w:val="00BF1D42"/>
    <w:rsid w:val="00CC5FCD"/>
    <w:rsid w:val="00E432AE"/>
    <w:rsid w:val="00E73060"/>
    <w:rsid w:val="0DEB625F"/>
    <w:rsid w:val="139C0135"/>
    <w:rsid w:val="14A03A30"/>
    <w:rsid w:val="175F53D8"/>
    <w:rsid w:val="198C44FA"/>
    <w:rsid w:val="1E70111A"/>
    <w:rsid w:val="1EF501D6"/>
    <w:rsid w:val="2364201F"/>
    <w:rsid w:val="23996670"/>
    <w:rsid w:val="263C7165"/>
    <w:rsid w:val="26E94DE4"/>
    <w:rsid w:val="2DA467F1"/>
    <w:rsid w:val="2F7F6BEE"/>
    <w:rsid w:val="37173543"/>
    <w:rsid w:val="376744EA"/>
    <w:rsid w:val="37DF3745"/>
    <w:rsid w:val="3A842A9B"/>
    <w:rsid w:val="3B26A025"/>
    <w:rsid w:val="3BE8327A"/>
    <w:rsid w:val="3E933CB6"/>
    <w:rsid w:val="3EDFD447"/>
    <w:rsid w:val="3EEFA8A2"/>
    <w:rsid w:val="3FDBA076"/>
    <w:rsid w:val="3FDE0D26"/>
    <w:rsid w:val="3FDFB3F0"/>
    <w:rsid w:val="3FDFC9A6"/>
    <w:rsid w:val="3FF76880"/>
    <w:rsid w:val="3FFF28D4"/>
    <w:rsid w:val="40F957F6"/>
    <w:rsid w:val="41FC7232"/>
    <w:rsid w:val="43460631"/>
    <w:rsid w:val="44004737"/>
    <w:rsid w:val="45DDF4E3"/>
    <w:rsid w:val="4B5D3110"/>
    <w:rsid w:val="4BF34E19"/>
    <w:rsid w:val="4FF70EEC"/>
    <w:rsid w:val="5B7D6724"/>
    <w:rsid w:val="5BFD4AC2"/>
    <w:rsid w:val="5FB93A80"/>
    <w:rsid w:val="5FBB54AD"/>
    <w:rsid w:val="5FEF74ED"/>
    <w:rsid w:val="60654968"/>
    <w:rsid w:val="612E4AA0"/>
    <w:rsid w:val="614C3ACC"/>
    <w:rsid w:val="67759716"/>
    <w:rsid w:val="68EC46EE"/>
    <w:rsid w:val="6BB8001F"/>
    <w:rsid w:val="6DF5D52E"/>
    <w:rsid w:val="6F7ED27B"/>
    <w:rsid w:val="6FD26139"/>
    <w:rsid w:val="6FFF7060"/>
    <w:rsid w:val="73E9677A"/>
    <w:rsid w:val="73FF72FF"/>
    <w:rsid w:val="756EB416"/>
    <w:rsid w:val="75B17A7C"/>
    <w:rsid w:val="78A44914"/>
    <w:rsid w:val="7A39AC11"/>
    <w:rsid w:val="7AB7FF50"/>
    <w:rsid w:val="7AEAF641"/>
    <w:rsid w:val="7B3E4018"/>
    <w:rsid w:val="7B930C83"/>
    <w:rsid w:val="7BAD2729"/>
    <w:rsid w:val="7BBEBF10"/>
    <w:rsid w:val="7BFEB0DB"/>
    <w:rsid w:val="7C0E2321"/>
    <w:rsid w:val="7C51B535"/>
    <w:rsid w:val="7DFEC371"/>
    <w:rsid w:val="7EAF1A9E"/>
    <w:rsid w:val="7EF76AA1"/>
    <w:rsid w:val="7F737D47"/>
    <w:rsid w:val="7FDDB73C"/>
    <w:rsid w:val="7FE93AC1"/>
    <w:rsid w:val="7FFBFEDB"/>
    <w:rsid w:val="7FFF4E81"/>
    <w:rsid w:val="7FFFD0D3"/>
    <w:rsid w:val="8716660E"/>
    <w:rsid w:val="9AFF4322"/>
    <w:rsid w:val="9FD6BDC2"/>
    <w:rsid w:val="A3AA735E"/>
    <w:rsid w:val="A59AAAC9"/>
    <w:rsid w:val="A75D4892"/>
    <w:rsid w:val="AFFFCE02"/>
    <w:rsid w:val="B35FB068"/>
    <w:rsid w:val="B7721521"/>
    <w:rsid w:val="CEFD3F3D"/>
    <w:rsid w:val="D3E7F759"/>
    <w:rsid w:val="D6B22E60"/>
    <w:rsid w:val="DF7DA2E9"/>
    <w:rsid w:val="DFFF8BC9"/>
    <w:rsid w:val="E5FD0287"/>
    <w:rsid w:val="E6F1DB87"/>
    <w:rsid w:val="E7EE6331"/>
    <w:rsid w:val="EA3F77F2"/>
    <w:rsid w:val="EC9D3180"/>
    <w:rsid w:val="EEFE5989"/>
    <w:rsid w:val="EFBFF4AC"/>
    <w:rsid w:val="EFCF3EAE"/>
    <w:rsid w:val="EFFB16F7"/>
    <w:rsid w:val="EFFDE8A0"/>
    <w:rsid w:val="F1EB4B84"/>
    <w:rsid w:val="F4FDEB06"/>
    <w:rsid w:val="F5B764A2"/>
    <w:rsid w:val="F5ED8AD2"/>
    <w:rsid w:val="F65623B3"/>
    <w:rsid w:val="F6FB9B17"/>
    <w:rsid w:val="F6FD78A2"/>
    <w:rsid w:val="F77F09F4"/>
    <w:rsid w:val="FBAF6E75"/>
    <w:rsid w:val="FBCF85F7"/>
    <w:rsid w:val="FBFF4A7F"/>
    <w:rsid w:val="FBFF6E65"/>
    <w:rsid w:val="FD8FAAE2"/>
    <w:rsid w:val="FEEF6AA0"/>
    <w:rsid w:val="FF7C8C74"/>
    <w:rsid w:val="FF9F18F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paragraph" w:styleId="6">
    <w:name w:val="heading 4"/>
    <w:basedOn w:val="1"/>
    <w:next w:val="1"/>
    <w:semiHidden/>
    <w:unhideWhenUsed/>
    <w:qFormat/>
    <w:uiPriority w:val="0"/>
    <w:pPr>
      <w:spacing w:beforeAutospacing="1" w:afterAutospacing="1"/>
      <w:jc w:val="left"/>
      <w:outlineLvl w:val="3"/>
    </w:pPr>
    <w:rPr>
      <w:rFonts w:hint="eastAsia" w:ascii="宋体" w:hAnsi="宋体"/>
      <w:b/>
      <w:bCs/>
      <w:kern w:val="0"/>
      <w:sz w:val="24"/>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20"/>
    </w:rPr>
  </w:style>
  <w:style w:type="paragraph" w:styleId="7">
    <w:name w:val="annotation text"/>
    <w:basedOn w:val="1"/>
    <w:link w:val="28"/>
    <w:qFormat/>
    <w:uiPriority w:val="0"/>
    <w:pPr>
      <w:jc w:val="left"/>
    </w:pPr>
  </w:style>
  <w:style w:type="paragraph" w:styleId="8">
    <w:name w:val="Body Text"/>
    <w:basedOn w:val="1"/>
    <w:qFormat/>
    <w:uiPriority w:val="0"/>
  </w:style>
  <w:style w:type="paragraph" w:styleId="9">
    <w:name w:val="Plain Text"/>
    <w:basedOn w:val="1"/>
    <w:next w:val="1"/>
    <w:qFormat/>
    <w:uiPriority w:val="0"/>
    <w:pPr>
      <w:suppressAutoHyphens/>
      <w:spacing w:line="520" w:lineRule="exact"/>
      <w:ind w:firstLine="1280" w:firstLineChars="400"/>
    </w:pPr>
    <w:rPr>
      <w:rFonts w:ascii="仿宋_GB2312" w:hAnsi="宋体" w:eastAsia="仿宋_GB2312"/>
      <w:color w:val="000000"/>
      <w:sz w:val="32"/>
      <w:szCs w:val="32"/>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39"/>
    <w:pPr>
      <w:tabs>
        <w:tab w:val="right" w:leader="dot" w:pos="8680"/>
      </w:tabs>
      <w:ind w:left="420" w:leftChars="200"/>
      <w:jc w:val="center"/>
    </w:pPr>
    <w:rPr>
      <w:rFonts w:ascii="黑体" w:hAnsi="黑体" w:eastAsia="黑体" w:cs="黑体"/>
      <w:sz w:val="32"/>
      <w:szCs w:val="32"/>
    </w:rPr>
  </w:style>
  <w:style w:type="paragraph" w:styleId="13">
    <w:name w:val="Normal (Web)"/>
    <w:basedOn w:val="1"/>
    <w:qFormat/>
    <w:uiPriority w:val="0"/>
    <w:pPr>
      <w:spacing w:beforeAutospacing="1" w:afterAutospacing="1"/>
      <w:jc w:val="left"/>
    </w:pPr>
    <w:rPr>
      <w:kern w:val="0"/>
      <w:sz w:val="24"/>
    </w:rPr>
  </w:style>
  <w:style w:type="paragraph" w:styleId="14">
    <w:name w:val="annotation subject"/>
    <w:basedOn w:val="7"/>
    <w:next w:val="7"/>
    <w:link w:val="29"/>
    <w:qFormat/>
    <w:uiPriority w:val="0"/>
    <w:rPr>
      <w:b/>
      <w:bCs/>
    </w:rPr>
  </w:style>
  <w:style w:type="character" w:styleId="17">
    <w:name w:val="Strong"/>
    <w:basedOn w:val="16"/>
    <w:qFormat/>
    <w:uiPriority w:val="0"/>
    <w:rPr>
      <w:b/>
    </w:rPr>
  </w:style>
  <w:style w:type="character" w:styleId="18">
    <w:name w:val="annotation reference"/>
    <w:basedOn w:val="16"/>
    <w:qFormat/>
    <w:uiPriority w:val="0"/>
    <w:rPr>
      <w:sz w:val="21"/>
      <w:szCs w:val="21"/>
    </w:rPr>
  </w:style>
  <w:style w:type="paragraph" w:customStyle="1" w:styleId="19">
    <w:name w:val="列出段落1"/>
    <w:basedOn w:val="1"/>
    <w:qFormat/>
    <w:uiPriority w:val="34"/>
    <w:pPr>
      <w:ind w:firstLine="420" w:firstLineChars="200"/>
    </w:pPr>
    <w:rPr>
      <w:rFonts w:ascii="Calibri" w:hAnsi="Calibri" w:cs="黑体"/>
      <w:szCs w:val="22"/>
    </w:rPr>
  </w:style>
  <w:style w:type="character" w:customStyle="1" w:styleId="20">
    <w:name w:val="font21"/>
    <w:basedOn w:val="16"/>
    <w:qFormat/>
    <w:uiPriority w:val="0"/>
    <w:rPr>
      <w:rFonts w:hint="eastAsia" w:ascii="宋体" w:hAnsi="宋体" w:eastAsia="宋体" w:cs="宋体"/>
      <w:color w:val="000000"/>
      <w:sz w:val="18"/>
      <w:szCs w:val="18"/>
      <w:u w:val="none"/>
    </w:rPr>
  </w:style>
  <w:style w:type="character" w:customStyle="1" w:styleId="21">
    <w:name w:val="font31"/>
    <w:basedOn w:val="16"/>
    <w:qFormat/>
    <w:uiPriority w:val="0"/>
    <w:rPr>
      <w:rFonts w:hint="eastAsia" w:ascii="宋体" w:hAnsi="宋体" w:eastAsia="宋体" w:cs="宋体"/>
      <w:color w:val="000000"/>
      <w:sz w:val="18"/>
      <w:szCs w:val="18"/>
      <w:u w:val="none"/>
    </w:rPr>
  </w:style>
  <w:style w:type="character" w:customStyle="1" w:styleId="22">
    <w:name w:val="font61"/>
    <w:basedOn w:val="16"/>
    <w:qFormat/>
    <w:uiPriority w:val="0"/>
    <w:rPr>
      <w:rFonts w:hint="eastAsia" w:ascii="宋体" w:hAnsi="宋体" w:eastAsia="宋体" w:cs="宋体"/>
      <w:b/>
      <w:bCs/>
      <w:color w:val="000000"/>
      <w:sz w:val="20"/>
      <w:szCs w:val="20"/>
      <w:u w:val="none"/>
    </w:rPr>
  </w:style>
  <w:style w:type="character" w:customStyle="1" w:styleId="23">
    <w:name w:val="font71"/>
    <w:basedOn w:val="16"/>
    <w:qFormat/>
    <w:uiPriority w:val="0"/>
    <w:rPr>
      <w:rFonts w:hint="eastAsia" w:ascii="宋体" w:hAnsi="宋体" w:eastAsia="宋体" w:cs="宋体"/>
      <w:color w:val="000000"/>
      <w:sz w:val="20"/>
      <w:szCs w:val="20"/>
      <w:u w:val="none"/>
    </w:rPr>
  </w:style>
  <w:style w:type="character" w:customStyle="1" w:styleId="24">
    <w:name w:val="font11"/>
    <w:basedOn w:val="16"/>
    <w:qFormat/>
    <w:uiPriority w:val="0"/>
    <w:rPr>
      <w:rFonts w:hint="default" w:ascii="Times New Roman" w:hAnsi="Times New Roman" w:cs="Times New Roman"/>
      <w:color w:val="000000"/>
      <w:sz w:val="20"/>
      <w:szCs w:val="20"/>
      <w:u w:val="none"/>
    </w:rPr>
  </w:style>
  <w:style w:type="character" w:customStyle="1" w:styleId="25">
    <w:name w:val="font51"/>
    <w:basedOn w:val="16"/>
    <w:qFormat/>
    <w:uiPriority w:val="0"/>
    <w:rPr>
      <w:rFonts w:hint="eastAsia" w:ascii="宋体" w:hAnsi="宋体" w:eastAsia="宋体" w:cs="宋体"/>
      <w:color w:val="000000"/>
      <w:sz w:val="20"/>
      <w:szCs w:val="20"/>
      <w:u w:val="none"/>
    </w:rPr>
  </w:style>
  <w:style w:type="character" w:customStyle="1" w:styleId="26">
    <w:name w:val="font81"/>
    <w:basedOn w:val="16"/>
    <w:qFormat/>
    <w:uiPriority w:val="0"/>
    <w:rPr>
      <w:rFonts w:hint="eastAsia" w:ascii="宋体" w:hAnsi="宋体" w:eastAsia="宋体" w:cs="宋体"/>
      <w:color w:val="000000"/>
      <w:sz w:val="20"/>
      <w:szCs w:val="20"/>
      <w:u w:val="none"/>
    </w:rPr>
  </w:style>
  <w:style w:type="paragraph" w:customStyle="1" w:styleId="27">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8">
    <w:name w:val="批注文字 字符"/>
    <w:basedOn w:val="16"/>
    <w:link w:val="7"/>
    <w:qFormat/>
    <w:uiPriority w:val="0"/>
    <w:rPr>
      <w:kern w:val="2"/>
      <w:sz w:val="21"/>
      <w:szCs w:val="24"/>
    </w:rPr>
  </w:style>
  <w:style w:type="character" w:customStyle="1" w:styleId="29">
    <w:name w:val="批注主题 字符"/>
    <w:basedOn w:val="28"/>
    <w:link w:val="14"/>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2554</Words>
  <Characters>2708</Characters>
  <Lines>775</Lines>
  <Paragraphs>623</Paragraphs>
  <TotalTime>280</TotalTime>
  <ScaleCrop>false</ScaleCrop>
  <LinksUpToDate>false</LinksUpToDate>
  <CharactersWithSpaces>2708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2022-03-18T11:16:00Z</dcterms:created>
  <dc:creator>user</dc:creator>
  <cp:lastModifiedBy>用户</cp:lastModifiedBy>
  <cp:lastPrinted>2025-05-02T18:11:00Z</cp:lastPrinted>
  <dcterms:modified xsi:type="dcterms:W3CDTF">2025-08-26T12:09:05Z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23CD2A49E8EC4184AB261A488A389D6E_13</vt:lpwstr>
  </property>
  <property fmtid="{D5CDD505-2E9C-101B-9397-08002B2CF9AE}" pid="4" name="KSOTemplateDocerSaveRecord">
    <vt:lpwstr>eyJoZGlkIjoiNGVhZmUzYTZjZDcwYmIyZGIxZDI2MmZlNWMwMTg1YjEiLCJ1c2VySWQiOiIyNjA4OTk2MDEifQ==</vt:lpwstr>
  </property>
</Properties>
</file>