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line="360" w:lineRule="auto"/>
        <w:ind w:firstLine="120"/>
        <w:jc w:val="left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1</w:t>
      </w:r>
    </w:p>
    <w:p>
      <w:pPr>
        <w:spacing w:after="400" w:line="360" w:lineRule="auto"/>
        <w:ind w:firstLine="120"/>
        <w:jc w:val="center"/>
        <w:rPr>
          <w:rFonts w:ascii="华文中宋" w:hAnsi="华文中宋" w:eastAsia="华文中宋"/>
          <w:b/>
          <w:sz w:val="32"/>
          <w:lang w:eastAsia="zh-CN"/>
        </w:rPr>
      </w:pPr>
      <w:r>
        <w:rPr>
          <w:rFonts w:ascii="华文中宋" w:hAnsi="华文中宋" w:eastAsia="华文中宋"/>
          <w:b/>
          <w:sz w:val="32"/>
          <w:lang w:eastAsia="zh-CN"/>
        </w:rPr>
        <w:t>2026年北京地区博物馆行业发展季度统计表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spacing w:after="240"/>
        <w:rPr>
          <w:rFonts w:ascii="华文中宋" w:hAnsi="华文中宋" w:eastAsia="华文中宋"/>
          <w:color w:val="24292F"/>
          <w:lang w:eastAsia="zh-CN"/>
        </w:rPr>
      </w:pPr>
      <w:r>
        <w:rPr>
          <w:rFonts w:ascii="华文中宋" w:hAnsi="华文中宋" w:eastAsia="华文中宋" w:cs="PMingLiU"/>
          <w:color w:val="24292F"/>
          <w:lang w:eastAsia="zh-CN"/>
        </w:rPr>
        <w:t>您好！感谢贵单位参与本次填报工作。</w:t>
      </w:r>
    </w:p>
    <w:p>
      <w:pPr>
        <w:spacing w:before="240" w:after="240"/>
        <w:rPr>
          <w:rFonts w:ascii="华文中宋" w:hAnsi="华文中宋" w:eastAsia="华文中宋" w:cs="微软雅黑"/>
          <w:sz w:val="28"/>
          <w:lang w:eastAsia="zh-CN"/>
        </w:rPr>
      </w:pPr>
      <w:r>
        <w:rPr>
          <w:rFonts w:ascii="华文中宋" w:hAnsi="华文中宋" w:eastAsia="华文中宋"/>
          <w:color w:val="24292F"/>
          <w:lang w:eastAsia="zh-CN"/>
        </w:rPr>
        <w:t xml:space="preserve">1. </w:t>
      </w:r>
      <w:r>
        <w:rPr>
          <w:rFonts w:ascii="华文中宋" w:hAnsi="华文中宋" w:eastAsia="华文中宋" w:cs="PMingLiU"/>
          <w:color w:val="24292F"/>
          <w:lang w:eastAsia="zh-CN"/>
        </w:rPr>
        <w:t>本表用于常态化汇总北京地区博物馆行业季度运营信息，为文物部门制定和调整行业指导政策提供依据。</w:t>
      </w:r>
      <w:r>
        <w:rPr>
          <w:rFonts w:ascii="华文中宋" w:hAnsi="华文中宋" w:eastAsia="华文中宋"/>
          <w:color w:val="24292F"/>
          <w:lang w:eastAsia="zh-CN"/>
        </w:rPr>
        <w:br w:type="textWrapping"/>
      </w:r>
      <w:r>
        <w:rPr>
          <w:rFonts w:ascii="华文中宋" w:hAnsi="华文中宋" w:eastAsia="华文中宋"/>
          <w:color w:val="24292F"/>
          <w:lang w:eastAsia="zh-CN"/>
        </w:rPr>
        <w:t xml:space="preserve">2. </w:t>
      </w:r>
      <w:r>
        <w:rPr>
          <w:rFonts w:ascii="华文中宋" w:hAnsi="华文中宋" w:eastAsia="华文中宋" w:cs="PMingLiU"/>
          <w:color w:val="24292F"/>
          <w:lang w:eastAsia="zh-CN"/>
        </w:rPr>
        <w:t>标注</w:t>
      </w:r>
      <w:r>
        <w:rPr>
          <w:rFonts w:ascii="华文中宋" w:hAnsi="华文中宋" w:eastAsia="华文中宋"/>
          <w:color w:val="24292F"/>
          <w:lang w:eastAsia="zh-CN"/>
        </w:rPr>
        <w:t>*</w:t>
      </w:r>
      <w:r>
        <w:rPr>
          <w:rFonts w:ascii="华文中宋" w:hAnsi="华文中宋" w:eastAsia="华文中宋" w:cs="PMingLiU"/>
          <w:color w:val="24292F"/>
          <w:lang w:eastAsia="zh-CN"/>
        </w:rPr>
        <w:t>的为必填项，请根据实际情况填写，若相关数据暂未统计或无重要亮点内容介绍，可填写</w:t>
      </w:r>
      <w:r>
        <w:rPr>
          <w:rFonts w:ascii="华文中宋" w:hAnsi="华文中宋" w:eastAsia="华文中宋"/>
          <w:color w:val="24292F"/>
          <w:lang w:eastAsia="zh-CN"/>
        </w:rPr>
        <w:t>“0”</w:t>
      </w:r>
      <w:r>
        <w:rPr>
          <w:rFonts w:ascii="华文中宋" w:hAnsi="华文中宋" w:eastAsia="华文中宋" w:cs="PMingLiU"/>
          <w:color w:val="24292F"/>
          <w:lang w:eastAsia="zh-CN"/>
        </w:rPr>
        <w:t>或</w:t>
      </w:r>
      <w:r>
        <w:rPr>
          <w:rFonts w:ascii="华文中宋" w:hAnsi="华文中宋" w:eastAsia="华文中宋"/>
          <w:color w:val="24292F"/>
          <w:lang w:eastAsia="zh-CN"/>
        </w:rPr>
        <w:t>“</w:t>
      </w:r>
      <w:r>
        <w:rPr>
          <w:rFonts w:ascii="华文中宋" w:hAnsi="华文中宋" w:eastAsia="华文中宋" w:cs="PMingLiU"/>
          <w:color w:val="24292F"/>
          <w:lang w:eastAsia="zh-CN"/>
        </w:rPr>
        <w:t>无</w:t>
      </w:r>
      <w:r>
        <w:rPr>
          <w:rFonts w:ascii="华文中宋" w:hAnsi="华文中宋" w:eastAsia="华文中宋"/>
          <w:color w:val="24292F"/>
          <w:lang w:eastAsia="zh-CN"/>
        </w:rPr>
        <w:t>”</w:t>
      </w:r>
      <w:r>
        <w:rPr>
          <w:rFonts w:ascii="华文中宋" w:hAnsi="华文中宋" w:eastAsia="华文中宋" w:cs="PMingLiU"/>
          <w:color w:val="24292F"/>
          <w:lang w:eastAsia="zh-CN"/>
        </w:rPr>
        <w:t>。</w:t>
      </w:r>
      <w:r>
        <w:rPr>
          <w:rFonts w:ascii="华文中宋" w:hAnsi="华文中宋" w:eastAsia="华文中宋"/>
          <w:color w:val="24292F"/>
          <w:lang w:eastAsia="zh-CN"/>
        </w:rPr>
        <w:br w:type="textWrapping"/>
      </w:r>
      <w:r>
        <w:rPr>
          <w:rFonts w:ascii="华文中宋" w:hAnsi="华文中宋" w:eastAsia="华文中宋"/>
          <w:color w:val="24292F"/>
          <w:lang w:eastAsia="zh-CN"/>
        </w:rPr>
        <w:t xml:space="preserve">3. </w:t>
      </w:r>
      <w:r>
        <w:rPr>
          <w:rFonts w:ascii="华文中宋" w:hAnsi="华文中宋" w:eastAsia="华文中宋" w:cs="PMingLiU"/>
          <w:color w:val="24292F"/>
          <w:lang w:eastAsia="zh-CN"/>
        </w:rPr>
        <w:t>请于</w:t>
      </w:r>
      <w:r>
        <w:rPr>
          <w:rFonts w:ascii="华文中宋" w:hAnsi="华文中宋" w:eastAsia="华文中宋"/>
          <w:color w:val="24292F"/>
          <w:lang w:eastAsia="zh-CN"/>
        </w:rPr>
        <w:t>2026</w:t>
      </w:r>
      <w:r>
        <w:rPr>
          <w:rFonts w:ascii="华文中宋" w:hAnsi="华文中宋" w:eastAsia="华文中宋" w:cs="PMingLiU"/>
          <w:color w:val="24292F"/>
          <w:lang w:eastAsia="zh-CN"/>
        </w:rPr>
        <w:t>年</w:t>
      </w:r>
      <w:r>
        <w:rPr>
          <w:rFonts w:ascii="华文中宋" w:hAnsi="华文中宋" w:eastAsia="华文中宋"/>
          <w:color w:val="24292F"/>
          <w:lang w:eastAsia="zh-CN"/>
        </w:rPr>
        <w:t>4</w:t>
      </w:r>
      <w:r>
        <w:rPr>
          <w:rFonts w:ascii="华文中宋" w:hAnsi="华文中宋" w:eastAsia="华文中宋" w:cs="PMingLiU"/>
          <w:color w:val="24292F"/>
          <w:lang w:eastAsia="zh-CN"/>
        </w:rPr>
        <w:t>月</w:t>
      </w:r>
      <w:r>
        <w:rPr>
          <w:rFonts w:hint="eastAsia" w:ascii="华文中宋" w:hAnsi="华文中宋" w:eastAsia="华文中宋" w:cs="PMingLiU"/>
          <w:color w:val="24292F"/>
          <w:lang w:eastAsia="zh-CN"/>
        </w:rPr>
        <w:t>1日至4月</w:t>
      </w:r>
      <w:r>
        <w:rPr>
          <w:rFonts w:ascii="华文中宋" w:hAnsi="华文中宋" w:eastAsia="华文中宋"/>
          <w:color w:val="24292F"/>
          <w:lang w:eastAsia="zh-CN"/>
        </w:rPr>
        <w:t>20</w:t>
      </w:r>
      <w:r>
        <w:rPr>
          <w:rFonts w:ascii="华文中宋" w:hAnsi="华文中宋" w:eastAsia="华文中宋" w:cs="PMingLiU"/>
          <w:color w:val="24292F"/>
          <w:lang w:eastAsia="zh-CN"/>
        </w:rPr>
        <w:t>日</w:t>
      </w:r>
      <w:r>
        <w:rPr>
          <w:rFonts w:hint="eastAsia" w:ascii="华文中宋" w:hAnsi="华文中宋" w:eastAsia="华文中宋" w:cs="PMingLiU"/>
          <w:color w:val="24292F"/>
          <w:lang w:eastAsia="zh-CN"/>
        </w:rPr>
        <w:t>期间</w:t>
      </w:r>
      <w:r>
        <w:rPr>
          <w:rFonts w:ascii="华文中宋" w:hAnsi="华文中宋" w:eastAsia="华文中宋" w:cs="PMingLiU"/>
          <w:color w:val="24292F"/>
          <w:lang w:eastAsia="zh-CN"/>
        </w:rPr>
        <w:t>完成</w:t>
      </w:r>
      <w:r>
        <w:rPr>
          <w:rFonts w:ascii="华文中宋" w:hAnsi="华文中宋" w:eastAsia="华文中宋"/>
          <w:color w:val="24292F"/>
          <w:lang w:eastAsia="zh-CN"/>
        </w:rPr>
        <w:t>2026</w:t>
      </w:r>
      <w:r>
        <w:rPr>
          <w:rFonts w:ascii="华文中宋" w:hAnsi="华文中宋" w:eastAsia="华文中宋" w:cs="PMingLiU"/>
          <w:color w:val="24292F"/>
          <w:lang w:eastAsia="zh-CN"/>
        </w:rPr>
        <w:t>年第一季度（</w:t>
      </w:r>
      <w:r>
        <w:rPr>
          <w:rFonts w:ascii="华文中宋" w:hAnsi="华文中宋" w:eastAsia="华文中宋"/>
          <w:color w:val="24292F"/>
          <w:lang w:eastAsia="zh-CN"/>
        </w:rPr>
        <w:t>1</w:t>
      </w:r>
      <w:r>
        <w:rPr>
          <w:rFonts w:ascii="华文中宋" w:hAnsi="华文中宋" w:eastAsia="华文中宋" w:cs="PMingLiU"/>
          <w:color w:val="24292F"/>
          <w:lang w:eastAsia="zh-CN"/>
        </w:rPr>
        <w:t>月</w:t>
      </w:r>
      <w:r>
        <w:rPr>
          <w:rFonts w:ascii="华文中宋" w:hAnsi="华文中宋" w:eastAsia="华文中宋"/>
          <w:color w:val="24292F"/>
          <w:lang w:eastAsia="zh-CN"/>
        </w:rPr>
        <w:t>1</w:t>
      </w:r>
      <w:r>
        <w:rPr>
          <w:rFonts w:ascii="华文中宋" w:hAnsi="华文中宋" w:eastAsia="华文中宋" w:cs="PMingLiU"/>
          <w:color w:val="24292F"/>
          <w:lang w:eastAsia="zh-CN"/>
        </w:rPr>
        <w:t>日至</w:t>
      </w:r>
      <w:r>
        <w:rPr>
          <w:rFonts w:ascii="华文中宋" w:hAnsi="华文中宋" w:eastAsia="华文中宋"/>
          <w:color w:val="24292F"/>
          <w:lang w:eastAsia="zh-CN"/>
        </w:rPr>
        <w:t>3</w:t>
      </w:r>
      <w:r>
        <w:rPr>
          <w:rFonts w:ascii="华文中宋" w:hAnsi="华文中宋" w:eastAsia="华文中宋" w:cs="PMingLiU"/>
          <w:color w:val="24292F"/>
          <w:lang w:eastAsia="zh-CN"/>
        </w:rPr>
        <w:t>月</w:t>
      </w:r>
      <w:r>
        <w:rPr>
          <w:rFonts w:ascii="华文中宋" w:hAnsi="华文中宋" w:eastAsia="华文中宋"/>
          <w:color w:val="24292F"/>
          <w:lang w:eastAsia="zh-CN"/>
        </w:rPr>
        <w:t>31</w:t>
      </w:r>
      <w:r>
        <w:rPr>
          <w:rFonts w:ascii="华文中宋" w:hAnsi="华文中宋" w:eastAsia="华文中宋" w:cs="PMingLiU"/>
          <w:color w:val="24292F"/>
          <w:lang w:eastAsia="zh-CN"/>
        </w:rPr>
        <w:t>日）的数据填报。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1. </w:t>
      </w:r>
      <w:r>
        <w:rPr>
          <w:rFonts w:ascii="华文中宋" w:hAnsi="华文中宋" w:eastAsia="华文中宋" w:cs="PMingLiU"/>
          <w:lang w:eastAsia="zh-CN"/>
        </w:rPr>
        <w:t>博物馆备案名称</w:t>
      </w:r>
      <w:r>
        <w:rPr>
          <w:rFonts w:ascii="华文中宋" w:hAnsi="华文中宋" w:eastAsia="华文中宋"/>
          <w:lang w:eastAsia="zh-CN"/>
        </w:rPr>
        <w:t xml:space="preserve"> 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2. </w:t>
      </w:r>
      <w:r>
        <w:rPr>
          <w:rFonts w:ascii="华文中宋" w:hAnsi="华文中宋" w:eastAsia="华文中宋" w:cs="PMingLiU"/>
          <w:lang w:eastAsia="zh-CN"/>
        </w:rPr>
        <w:t>填报人：</w:t>
      </w:r>
      <w:r>
        <w:rPr>
          <w:rFonts w:ascii="华文中宋" w:hAnsi="华文中宋" w:eastAsia="华文中宋"/>
          <w:lang w:eastAsia="zh-CN"/>
        </w:rPr>
        <w:t xml:space="preserve"> 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3. </w:t>
      </w:r>
      <w:r>
        <w:rPr>
          <w:rFonts w:ascii="华文中宋" w:hAnsi="华文中宋" w:eastAsia="华文中宋" w:cs="PMingLiU"/>
          <w:lang w:eastAsia="zh-CN"/>
        </w:rPr>
        <w:t>填报人电话：</w:t>
      </w:r>
      <w:r>
        <w:rPr>
          <w:rFonts w:ascii="华文中宋" w:hAnsi="华文中宋" w:eastAsia="华文中宋"/>
          <w:lang w:eastAsia="zh-CN"/>
        </w:rPr>
        <w:t xml:space="preserve"> 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rPr>
          <w:rFonts w:ascii="华文中宋" w:hAnsi="华文中宋" w:eastAsia="华文中宋"/>
          <w:lang w:eastAsia="zh-CN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4. </w:t>
      </w:r>
      <w:r>
        <w:rPr>
          <w:rFonts w:ascii="华文中宋" w:hAnsi="华文中宋" w:eastAsia="华文中宋" w:cs="PMingLiU"/>
          <w:lang w:eastAsia="zh-CN"/>
        </w:rPr>
        <w:t>本季度藏品情况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表格文本题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 w:cs="PMingLiU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馆藏总数=文物藏品数量+非文物藏品数量。其中，文物藏品数量=珍贵文物（一二三级文物）数量+一般文物数量+未定级文物数量。（单位：件/套）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1526"/>
        <w:gridCol w:w="700"/>
        <w:gridCol w:w="948"/>
        <w:gridCol w:w="947"/>
        <w:gridCol w:w="947"/>
        <w:gridCol w:w="994"/>
        <w:gridCol w:w="992"/>
        <w:gridCol w:w="992"/>
        <w:gridCol w:w="810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70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总数</w:t>
            </w:r>
          </w:p>
        </w:tc>
        <w:tc>
          <w:tcPr>
            <w:tcW w:w="948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一级文物数量</w:t>
            </w:r>
          </w:p>
        </w:tc>
        <w:tc>
          <w:tcPr>
            <w:tcW w:w="947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二级文物数量</w:t>
            </w:r>
          </w:p>
        </w:tc>
        <w:tc>
          <w:tcPr>
            <w:tcW w:w="947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三级文物数量</w:t>
            </w:r>
          </w:p>
        </w:tc>
        <w:tc>
          <w:tcPr>
            <w:tcW w:w="994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一般文物数量</w:t>
            </w:r>
          </w:p>
        </w:tc>
        <w:tc>
          <w:tcPr>
            <w:tcW w:w="99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未定级文物数量</w:t>
            </w:r>
          </w:p>
        </w:tc>
        <w:tc>
          <w:tcPr>
            <w:tcW w:w="99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非文物藏品数量</w:t>
            </w:r>
          </w:p>
        </w:tc>
        <w:tc>
          <w:tcPr>
            <w:tcW w:w="81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本季度新增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馆藏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修复藏品</w:t>
            </w:r>
          </w:p>
        </w:tc>
        <w:tc>
          <w:tcPr>
            <w:tcW w:w="7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1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已定级文物通过</w:t>
            </w:r>
            <w:r>
              <w:rPr>
                <w:rFonts w:ascii="华文中宋" w:hAnsi="华文中宋" w:eastAsia="华文中宋"/>
                <w:lang w:eastAsia="zh-CN"/>
              </w:rPr>
              <w:t>“</w:t>
            </w:r>
            <w:r>
              <w:rPr>
                <w:rFonts w:ascii="华文中宋" w:hAnsi="华文中宋" w:eastAsia="华文中宋" w:cs="PMingLiU"/>
                <w:lang w:eastAsia="zh-CN"/>
              </w:rPr>
              <w:t>北京市博物馆智慧管理平台</w:t>
            </w:r>
            <w:r>
              <w:rPr>
                <w:rFonts w:ascii="华文中宋" w:hAnsi="华文中宋" w:eastAsia="华文中宋"/>
                <w:lang w:eastAsia="zh-CN"/>
              </w:rPr>
              <w:t>”</w:t>
            </w:r>
            <w:r>
              <w:rPr>
                <w:rFonts w:ascii="华文中宋" w:hAnsi="华文中宋" w:eastAsia="华文中宋" w:cs="PMingLiU"/>
                <w:lang w:eastAsia="zh-CN"/>
              </w:rPr>
              <w:t>完成备案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通过数字化形式公开</w:t>
            </w:r>
          </w:p>
        </w:tc>
        <w:tc>
          <w:tcPr>
            <w:tcW w:w="70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4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1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5. </w:t>
      </w:r>
      <w:r>
        <w:rPr>
          <w:rFonts w:ascii="华文中宋" w:hAnsi="华文中宋" w:eastAsia="华文中宋" w:cs="PMingLiU"/>
          <w:lang w:eastAsia="zh-CN"/>
        </w:rPr>
        <w:t>本季度藏品展出情况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794"/>
        <w:gridCol w:w="5062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506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379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基本陈列展出藏品数量（件</w:t>
            </w:r>
            <w:r>
              <w:rPr>
                <w:rFonts w:ascii="华文中宋" w:hAnsi="华文中宋" w:eastAsia="华文中宋"/>
                <w:lang w:eastAsia="zh-CN"/>
              </w:rPr>
              <w:t>/</w:t>
            </w:r>
            <w:r>
              <w:rPr>
                <w:rFonts w:ascii="华文中宋" w:hAnsi="华文中宋" w:eastAsia="华文中宋" w:cs="PMingLiU"/>
                <w:lang w:eastAsia="zh-CN"/>
              </w:rPr>
              <w:t>套）</w:t>
            </w:r>
          </w:p>
        </w:tc>
        <w:tc>
          <w:tcPr>
            <w:tcW w:w="506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临时展览展出藏品数量（件</w:t>
            </w:r>
            <w:r>
              <w:rPr>
                <w:rFonts w:ascii="华文中宋" w:hAnsi="华文中宋" w:eastAsia="华文中宋"/>
                <w:lang w:eastAsia="zh-CN"/>
              </w:rPr>
              <w:t>/</w:t>
            </w:r>
            <w:r>
              <w:rPr>
                <w:rFonts w:ascii="华文中宋" w:hAnsi="华文中宋" w:eastAsia="华文中宋" w:cs="PMingLiU"/>
                <w:lang w:eastAsia="zh-CN"/>
              </w:rPr>
              <w:t>套）</w:t>
            </w:r>
          </w:p>
        </w:tc>
        <w:tc>
          <w:tcPr>
            <w:tcW w:w="506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379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线上展览展出藏品数量（件</w:t>
            </w:r>
            <w:r>
              <w:rPr>
                <w:rFonts w:ascii="华文中宋" w:hAnsi="华文中宋" w:eastAsia="华文中宋"/>
                <w:lang w:eastAsia="zh-CN"/>
              </w:rPr>
              <w:t>/</w:t>
            </w:r>
            <w:r>
              <w:rPr>
                <w:rFonts w:ascii="华文中宋" w:hAnsi="华文中宋" w:eastAsia="华文中宋" w:cs="PMingLiU"/>
                <w:lang w:eastAsia="zh-CN"/>
              </w:rPr>
              <w:t>套）</w:t>
            </w:r>
          </w:p>
        </w:tc>
        <w:tc>
          <w:tcPr>
            <w:tcW w:w="506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出借藏品数量（件</w:t>
            </w:r>
            <w:r>
              <w:rPr>
                <w:rFonts w:ascii="华文中宋" w:hAnsi="华文中宋" w:eastAsia="华文中宋"/>
                <w:lang w:eastAsia="zh-CN"/>
              </w:rPr>
              <w:t>/</w:t>
            </w:r>
            <w:r>
              <w:rPr>
                <w:rFonts w:ascii="华文中宋" w:hAnsi="华文中宋" w:eastAsia="华文中宋" w:cs="PMingLiU"/>
                <w:lang w:eastAsia="zh-CN"/>
              </w:rPr>
              <w:t>套）</w:t>
            </w:r>
          </w:p>
        </w:tc>
        <w:tc>
          <w:tcPr>
            <w:tcW w:w="506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6. </w:t>
      </w:r>
      <w:r>
        <w:rPr>
          <w:rFonts w:ascii="华文中宋" w:hAnsi="华文中宋" w:eastAsia="华文中宋" w:cs="PMingLiU"/>
          <w:lang w:eastAsia="zh-CN"/>
        </w:rPr>
        <w:t>本季度在展展览情况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本题目中</w:t>
      </w:r>
      <w:r>
        <w:rPr>
          <w:rFonts w:ascii="华文中宋" w:hAnsi="华文中宋" w:eastAsia="华文中宋"/>
          <w:color w:val="999999"/>
          <w:lang w:eastAsia="zh-CN"/>
        </w:rPr>
        <w:t>“</w:t>
      </w:r>
      <w:r>
        <w:rPr>
          <w:rFonts w:ascii="华文中宋" w:hAnsi="华文中宋" w:eastAsia="华文中宋" w:cs="PMingLiU"/>
          <w:color w:val="999999"/>
          <w:lang w:eastAsia="zh-CN"/>
        </w:rPr>
        <w:t>临时展览数量</w:t>
      </w:r>
      <w:r>
        <w:rPr>
          <w:rFonts w:ascii="华文中宋" w:hAnsi="华文中宋" w:eastAsia="华文中宋"/>
          <w:color w:val="999999"/>
          <w:lang w:eastAsia="zh-CN"/>
        </w:rPr>
        <w:t>”</w:t>
      </w:r>
      <w:r>
        <w:rPr>
          <w:rFonts w:ascii="华文中宋" w:hAnsi="华文中宋" w:eastAsia="华文中宋" w:cs="PMingLiU"/>
          <w:color w:val="999999"/>
          <w:lang w:eastAsia="zh-CN"/>
        </w:rPr>
        <w:t>是指具有明确主题的展览场次数量，非展品数量，且不包括入境展览数量。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4928"/>
        <w:gridCol w:w="3928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3928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基本陈列数量</w:t>
            </w:r>
          </w:p>
        </w:tc>
        <w:tc>
          <w:tcPr>
            <w:tcW w:w="392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临时展览数量（不包括入境展览）</w:t>
            </w:r>
          </w:p>
        </w:tc>
        <w:tc>
          <w:tcPr>
            <w:tcW w:w="392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入境展览数量</w:t>
            </w:r>
          </w:p>
        </w:tc>
        <w:tc>
          <w:tcPr>
            <w:tcW w:w="392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出境展览数量</w:t>
            </w:r>
          </w:p>
        </w:tc>
        <w:tc>
          <w:tcPr>
            <w:tcW w:w="392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线上展览数量</w:t>
            </w:r>
          </w:p>
        </w:tc>
        <w:tc>
          <w:tcPr>
            <w:tcW w:w="392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28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出境展览涉及的国家、地区</w:t>
            </w:r>
          </w:p>
        </w:tc>
        <w:tc>
          <w:tcPr>
            <w:tcW w:w="392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7. </w:t>
      </w:r>
      <w:r>
        <w:rPr>
          <w:rFonts w:ascii="华文中宋" w:hAnsi="华文中宋" w:eastAsia="华文中宋" w:cs="PMingLiU"/>
          <w:lang w:eastAsia="zh-CN"/>
        </w:rPr>
        <w:t>本季度是否有新开展览</w:t>
      </w:r>
      <w:r>
        <w:rPr>
          <w:rFonts w:ascii="华文中宋" w:hAnsi="华文中宋" w:eastAsia="华文中宋"/>
          <w:lang w:eastAsia="zh-CN"/>
        </w:rPr>
        <w:t xml:space="preserve"> [</w:t>
      </w:r>
      <w:r>
        <w:rPr>
          <w:rFonts w:ascii="华文中宋" w:hAnsi="华文中宋" w:eastAsia="华文中宋" w:cs="PMingLiU"/>
          <w:lang w:eastAsia="zh-CN"/>
        </w:rPr>
        <w:t>单选题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○</w:t>
            </w:r>
            <w:r>
              <w:rPr>
                <w:rFonts w:ascii="华文中宋" w:hAnsi="华文中宋" w:eastAsia="华文中宋" w:cs="PMingLiU"/>
              </w:rPr>
              <w:t>是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○</w:t>
            </w:r>
            <w:r>
              <w:rPr>
                <w:rFonts w:ascii="华文中宋" w:hAnsi="华文中宋" w:eastAsia="华文中宋" w:cs="PMingLiU"/>
              </w:rPr>
              <w:t>否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8. </w:t>
      </w:r>
      <w:r>
        <w:rPr>
          <w:rFonts w:ascii="华文中宋" w:hAnsi="华文中宋" w:eastAsia="华文中宋" w:cs="PMingLiU"/>
          <w:lang w:eastAsia="zh-CN"/>
        </w:rPr>
        <w:t>本季度新开展览情况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表格文本题</w:t>
      </w:r>
      <w:r>
        <w:rPr>
          <w:rFonts w:ascii="华文中宋" w:hAnsi="华文中宋" w:eastAsia="华文中宋"/>
          <w:lang w:eastAsia="zh-CN"/>
        </w:rPr>
        <w:t>]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本题目中</w:t>
      </w:r>
      <w:r>
        <w:rPr>
          <w:rFonts w:ascii="华文中宋" w:hAnsi="华文中宋" w:eastAsia="华文中宋"/>
          <w:color w:val="999999"/>
          <w:lang w:eastAsia="zh-CN"/>
        </w:rPr>
        <w:t>“</w:t>
      </w:r>
      <w:r>
        <w:rPr>
          <w:rFonts w:ascii="华文中宋" w:hAnsi="华文中宋" w:eastAsia="华文中宋" w:cs="PMingLiU"/>
          <w:color w:val="999999"/>
          <w:lang w:eastAsia="zh-CN"/>
        </w:rPr>
        <w:t>新开展览</w:t>
      </w:r>
      <w:r>
        <w:rPr>
          <w:rFonts w:ascii="华文中宋" w:hAnsi="华文中宋" w:eastAsia="华文中宋"/>
          <w:color w:val="999999"/>
          <w:lang w:eastAsia="zh-CN"/>
        </w:rPr>
        <w:t>”</w:t>
      </w:r>
      <w:r>
        <w:rPr>
          <w:rFonts w:ascii="华文中宋" w:hAnsi="华文中宋" w:eastAsia="华文中宋" w:cs="PMingLiU"/>
          <w:color w:val="999999"/>
          <w:lang w:eastAsia="zh-CN"/>
        </w:rPr>
        <w:t>是指</w:t>
      </w:r>
      <w:r>
        <w:rPr>
          <w:rFonts w:ascii="华文中宋" w:hAnsi="华文中宋" w:eastAsia="华文中宋"/>
          <w:color w:val="999999"/>
          <w:lang w:eastAsia="zh-CN"/>
        </w:rPr>
        <w:t>2026</w:t>
      </w:r>
      <w:r>
        <w:rPr>
          <w:rFonts w:ascii="华文中宋" w:hAnsi="华文中宋" w:eastAsia="华文中宋" w:cs="PMingLiU"/>
          <w:color w:val="999999"/>
          <w:lang w:eastAsia="zh-CN"/>
        </w:rPr>
        <w:t>年</w:t>
      </w:r>
      <w:r>
        <w:rPr>
          <w:rFonts w:ascii="华文中宋" w:hAnsi="华文中宋" w:eastAsia="华文中宋"/>
          <w:color w:val="999999"/>
          <w:lang w:eastAsia="zh-CN"/>
        </w:rPr>
        <w:t>1</w:t>
      </w:r>
      <w:r>
        <w:rPr>
          <w:rFonts w:ascii="华文中宋" w:hAnsi="华文中宋" w:eastAsia="华文中宋" w:cs="PMingLiU"/>
          <w:color w:val="999999"/>
          <w:lang w:eastAsia="zh-CN"/>
        </w:rPr>
        <w:t>月</w:t>
      </w:r>
      <w:r>
        <w:rPr>
          <w:rFonts w:ascii="华文中宋" w:hAnsi="华文中宋" w:eastAsia="华文中宋"/>
          <w:color w:val="999999"/>
          <w:lang w:eastAsia="zh-CN"/>
        </w:rPr>
        <w:t>1</w:t>
      </w:r>
      <w:r>
        <w:rPr>
          <w:rFonts w:ascii="华文中宋" w:hAnsi="华文中宋" w:eastAsia="华文中宋" w:cs="PMingLiU"/>
          <w:color w:val="999999"/>
          <w:lang w:eastAsia="zh-CN"/>
        </w:rPr>
        <w:t>日至</w:t>
      </w:r>
      <w:r>
        <w:rPr>
          <w:rFonts w:ascii="华文中宋" w:hAnsi="华文中宋" w:eastAsia="华文中宋"/>
          <w:color w:val="999999"/>
          <w:lang w:eastAsia="zh-CN"/>
        </w:rPr>
        <w:t>3</w:t>
      </w:r>
      <w:r>
        <w:rPr>
          <w:rFonts w:ascii="华文中宋" w:hAnsi="华文中宋" w:eastAsia="华文中宋" w:cs="PMingLiU"/>
          <w:color w:val="999999"/>
          <w:lang w:eastAsia="zh-CN"/>
        </w:rPr>
        <w:t>月</w:t>
      </w:r>
      <w:r>
        <w:rPr>
          <w:rFonts w:ascii="华文中宋" w:hAnsi="华文中宋" w:eastAsia="华文中宋"/>
          <w:color w:val="999999"/>
          <w:lang w:eastAsia="zh-CN"/>
        </w:rPr>
        <w:t>31</w:t>
      </w:r>
      <w:r>
        <w:rPr>
          <w:rFonts w:ascii="华文中宋" w:hAnsi="华文中宋" w:eastAsia="华文中宋" w:cs="PMingLiU"/>
          <w:color w:val="999999"/>
          <w:lang w:eastAsia="zh-CN"/>
        </w:rPr>
        <w:t>日期间在本馆首次开展的临时展览、入境展览、出境展览。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992"/>
        <w:gridCol w:w="709"/>
        <w:gridCol w:w="851"/>
        <w:gridCol w:w="850"/>
        <w:gridCol w:w="992"/>
        <w:gridCol w:w="993"/>
        <w:gridCol w:w="95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708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展览名称</w:t>
            </w:r>
          </w:p>
        </w:tc>
        <w:tc>
          <w:tcPr>
            <w:tcW w:w="1276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展览类别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FF0000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  <w:lang w:eastAsia="zh-CN"/>
              </w:rPr>
              <w:t>(临时展览/入境展览/出境展览)</w:t>
            </w:r>
          </w:p>
        </w:tc>
        <w:tc>
          <w:tcPr>
            <w:tcW w:w="99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联合举办单位</w:t>
            </w:r>
          </w:p>
        </w:tc>
        <w:tc>
          <w:tcPr>
            <w:tcW w:w="709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开始日期</w:t>
            </w:r>
          </w:p>
        </w:tc>
        <w:tc>
          <w:tcPr>
            <w:tcW w:w="85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结束日期</w:t>
            </w:r>
          </w:p>
        </w:tc>
        <w:tc>
          <w:tcPr>
            <w:tcW w:w="85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展览地点</w:t>
            </w:r>
          </w:p>
        </w:tc>
        <w:tc>
          <w:tcPr>
            <w:tcW w:w="99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展览简介（500字以内）</w:t>
            </w:r>
          </w:p>
        </w:tc>
        <w:tc>
          <w:tcPr>
            <w:tcW w:w="993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合作情况</w:t>
            </w: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  <w:lang w:eastAsia="zh-CN"/>
              </w:rPr>
              <w:t>（无、馆际合作项目、</w:t>
            </w:r>
            <w:r>
              <w:rPr>
                <w:rFonts w:hint="eastAsia" w:ascii="华文中宋" w:hAnsi="华文中宋" w:eastAsia="华文中宋"/>
                <w:color w:val="FF0000"/>
                <w:sz w:val="20"/>
                <w:szCs w:val="20"/>
                <w:lang w:eastAsia="zh-CN"/>
              </w:rPr>
              <w:t>国际合作项目））</w:t>
            </w:r>
          </w:p>
        </w:tc>
        <w:tc>
          <w:tcPr>
            <w:tcW w:w="95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是否向上级主管部门备案</w:t>
            </w: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  <w:lang w:eastAsia="zh-CN"/>
              </w:rPr>
              <w:t>（否、是）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2</w:t>
            </w:r>
          </w:p>
        </w:tc>
        <w:tc>
          <w:tcPr>
            <w:tcW w:w="70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4</w:t>
            </w:r>
          </w:p>
        </w:tc>
        <w:tc>
          <w:tcPr>
            <w:tcW w:w="70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6</w:t>
            </w:r>
          </w:p>
        </w:tc>
        <w:tc>
          <w:tcPr>
            <w:tcW w:w="70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8</w:t>
            </w:r>
          </w:p>
        </w:tc>
        <w:tc>
          <w:tcPr>
            <w:tcW w:w="70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10</w:t>
            </w:r>
          </w:p>
        </w:tc>
        <w:tc>
          <w:tcPr>
            <w:tcW w:w="70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27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70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9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</w:tbl>
    <w:p>
      <w:pPr>
        <w:rPr>
          <w:rFonts w:ascii="华文中宋" w:hAnsi="华文中宋" w:eastAsia="华文中宋"/>
          <w:color w:val="0066FF"/>
        </w:rPr>
      </w:pPr>
      <w:r>
        <w:rPr>
          <w:rFonts w:ascii="华文中宋" w:hAnsi="华文中宋" w:eastAsia="华文中宋" w:cs="PMingLiU"/>
          <w:color w:val="0066FF"/>
        </w:rPr>
        <w:t>依赖于第</w:t>
      </w:r>
      <w:r>
        <w:rPr>
          <w:rFonts w:ascii="华文中宋" w:hAnsi="华文中宋" w:eastAsia="华文中宋"/>
          <w:color w:val="0066FF"/>
        </w:rPr>
        <w:t>7</w:t>
      </w:r>
      <w:r>
        <w:rPr>
          <w:rFonts w:ascii="华文中宋" w:hAnsi="华文中宋" w:eastAsia="华文中宋" w:cs="PMingLiU"/>
          <w:color w:val="0066FF"/>
        </w:rPr>
        <w:t>题第</w:t>
      </w:r>
      <w:r>
        <w:rPr>
          <w:rFonts w:ascii="华文中宋" w:hAnsi="华文中宋" w:eastAsia="华文中宋"/>
          <w:color w:val="0066FF"/>
        </w:rPr>
        <w:t>1</w:t>
      </w:r>
      <w:r>
        <w:rPr>
          <w:rFonts w:ascii="华文中宋" w:hAnsi="华文中宋" w:eastAsia="华文中宋" w:cs="PMingLiU"/>
          <w:color w:val="0066FF"/>
        </w:rPr>
        <w:t>个选项</w:t>
      </w: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9. </w:t>
      </w:r>
      <w:r>
        <w:rPr>
          <w:rFonts w:ascii="华文中宋" w:hAnsi="华文中宋" w:eastAsia="华文中宋" w:cs="PMingLiU"/>
          <w:lang w:eastAsia="zh-CN"/>
        </w:rPr>
        <w:t>本季度教育活动情况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shd w:val="clear" w:color="auto" w:fill="FAFAFA"/>
          <w:lang w:eastAsia="zh-CN"/>
        </w:rPr>
        <w:t>博物馆线下举办的课程、讲座、研学、进校园等教育活动数量（不含讲解场次数），以及线上举办的课程、讲座、直播等教育活动数量。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2943"/>
        <w:gridCol w:w="5913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3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5913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线下教育活动数量（个）</w:t>
            </w:r>
          </w:p>
        </w:tc>
        <w:tc>
          <w:tcPr>
            <w:tcW w:w="591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线上教育活动数量（个）</w:t>
            </w:r>
          </w:p>
        </w:tc>
        <w:tc>
          <w:tcPr>
            <w:tcW w:w="591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10. </w:t>
      </w:r>
      <w:r>
        <w:rPr>
          <w:rFonts w:ascii="华文中宋" w:hAnsi="华文中宋" w:eastAsia="华文中宋" w:cs="PMingLiU"/>
          <w:lang w:eastAsia="zh-CN"/>
        </w:rPr>
        <w:t>本季度教育活动人员参与情况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936"/>
        <w:gridCol w:w="4920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36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492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3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线下教育活动参与人数（人次）</w:t>
            </w:r>
          </w:p>
        </w:tc>
        <w:tc>
          <w:tcPr>
            <w:tcW w:w="492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线上教育活动参与人数（人次）</w:t>
            </w:r>
          </w:p>
        </w:tc>
        <w:tc>
          <w:tcPr>
            <w:tcW w:w="492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11. </w:t>
      </w:r>
      <w:r>
        <w:rPr>
          <w:rFonts w:ascii="华文中宋" w:hAnsi="华文中宋" w:eastAsia="华文中宋" w:cs="PMingLiU"/>
          <w:lang w:eastAsia="zh-CN"/>
        </w:rPr>
        <w:t>本季度线下和线上教育活动亮点（</w:t>
      </w:r>
      <w:r>
        <w:rPr>
          <w:rFonts w:ascii="华文中宋" w:hAnsi="华文中宋" w:eastAsia="华文中宋"/>
          <w:lang w:eastAsia="zh-CN"/>
        </w:rPr>
        <w:t>500</w:t>
      </w:r>
      <w:r>
        <w:rPr>
          <w:rFonts w:ascii="华文中宋" w:hAnsi="华文中宋" w:eastAsia="华文中宋" w:cs="PMingLiU"/>
          <w:lang w:eastAsia="zh-CN"/>
        </w:rPr>
        <w:t>字内）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>]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线下和线上亮点教育活动介绍，可包含活动内容、表现形式、社会反馈情况等。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12. </w:t>
      </w:r>
      <w:r>
        <w:rPr>
          <w:rFonts w:ascii="华文中宋" w:hAnsi="华文中宋" w:eastAsia="华文中宋" w:cs="微软雅黑"/>
          <w:lang w:eastAsia="zh-CN"/>
        </w:rPr>
        <w:t>本季度文创销售情况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240" w:after="240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本题目中</w:t>
      </w:r>
      <w:r>
        <w:rPr>
          <w:rFonts w:ascii="华文中宋" w:hAnsi="华文中宋" w:eastAsia="华文中宋"/>
          <w:color w:val="999999"/>
          <w:lang w:eastAsia="zh-CN"/>
        </w:rPr>
        <w:t>“</w:t>
      </w:r>
      <w:r>
        <w:rPr>
          <w:rFonts w:ascii="华文中宋" w:hAnsi="华文中宋" w:eastAsia="华文中宋" w:cs="PMingLiU"/>
          <w:color w:val="999999"/>
          <w:lang w:eastAsia="zh-CN"/>
        </w:rPr>
        <w:t>大文创</w:t>
      </w:r>
      <w:r>
        <w:rPr>
          <w:rFonts w:ascii="华文中宋" w:hAnsi="华文中宋" w:eastAsia="华文中宋"/>
          <w:color w:val="999999"/>
          <w:lang w:eastAsia="zh-CN"/>
        </w:rPr>
        <w:t>”</w:t>
      </w:r>
      <w:r>
        <w:rPr>
          <w:rFonts w:ascii="华文中宋" w:hAnsi="华文中宋" w:eastAsia="华文中宋" w:cs="PMingLiU"/>
          <w:color w:val="999999"/>
          <w:lang w:eastAsia="zh-CN"/>
        </w:rPr>
        <w:t>销售总额是指博物馆基于馆藏资源、特色文化元素及</w:t>
      </w:r>
      <w:r>
        <w:rPr>
          <w:rFonts w:ascii="华文中宋" w:hAnsi="华文中宋" w:eastAsia="华文中宋"/>
          <w:color w:val="999999"/>
          <w:lang w:eastAsia="zh-CN"/>
        </w:rPr>
        <w:t>IP</w:t>
      </w:r>
      <w:r>
        <w:rPr>
          <w:rFonts w:ascii="华文中宋" w:hAnsi="华文中宋" w:eastAsia="华文中宋" w:cs="PMingLiU"/>
          <w:color w:val="999999"/>
          <w:lang w:eastAsia="zh-CN"/>
        </w:rPr>
        <w:t>授权等，通过创造性劳动转化形成的各类产品与服务所产生的总收入，包括但不限于文创衍生商品（含自主开发与代售）、收费专题展览、研学教育服务、文创餐饮收入等。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794"/>
        <w:gridCol w:w="5062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506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“</w:t>
            </w:r>
            <w:r>
              <w:rPr>
                <w:rFonts w:ascii="华文中宋" w:hAnsi="华文中宋" w:eastAsia="华文中宋" w:cs="PMingLiU"/>
                <w:lang w:eastAsia="zh-CN"/>
              </w:rPr>
              <w:t>大文创</w:t>
            </w:r>
            <w:r>
              <w:rPr>
                <w:rFonts w:ascii="华文中宋" w:hAnsi="华文中宋" w:eastAsia="华文中宋"/>
                <w:lang w:eastAsia="zh-CN"/>
              </w:rPr>
              <w:t>”</w:t>
            </w:r>
            <w:r>
              <w:rPr>
                <w:rFonts w:ascii="华文中宋" w:hAnsi="华文中宋" w:eastAsia="华文中宋" w:cs="PMingLiU"/>
                <w:lang w:eastAsia="zh-CN"/>
              </w:rPr>
              <w:t>销售总额（元）</w:t>
            </w:r>
          </w:p>
        </w:tc>
        <w:tc>
          <w:tcPr>
            <w:tcW w:w="506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文创衍生商品销售额（元）</w:t>
            </w:r>
          </w:p>
        </w:tc>
        <w:tc>
          <w:tcPr>
            <w:tcW w:w="506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4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文创衍生商品销售量（件</w:t>
            </w:r>
            <w:r>
              <w:rPr>
                <w:rFonts w:ascii="华文中宋" w:hAnsi="华文中宋" w:eastAsia="华文中宋"/>
                <w:lang w:eastAsia="zh-CN"/>
              </w:rPr>
              <w:t>/</w:t>
            </w:r>
            <w:r>
              <w:rPr>
                <w:rFonts w:ascii="华文中宋" w:hAnsi="华文中宋" w:eastAsia="华文中宋" w:cs="PMingLiU"/>
                <w:lang w:eastAsia="zh-CN"/>
              </w:rPr>
              <w:t>套）</w:t>
            </w:r>
          </w:p>
        </w:tc>
        <w:tc>
          <w:tcPr>
            <w:tcW w:w="506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13. </w:t>
      </w:r>
      <w:r>
        <w:rPr>
          <w:rFonts w:ascii="华文中宋" w:hAnsi="华文中宋" w:eastAsia="华文中宋" w:cs="PMingLiU"/>
          <w:lang w:eastAsia="zh-CN"/>
        </w:rPr>
        <w:t>本季度收费展览情况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表格文本题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1984"/>
        <w:gridCol w:w="2936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5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170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展览名称</w:t>
            </w:r>
          </w:p>
        </w:tc>
        <w:tc>
          <w:tcPr>
            <w:tcW w:w="156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观众人数</w:t>
            </w:r>
          </w:p>
        </w:tc>
        <w:tc>
          <w:tcPr>
            <w:tcW w:w="1984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门票收入（元）</w:t>
            </w:r>
          </w:p>
        </w:tc>
        <w:tc>
          <w:tcPr>
            <w:tcW w:w="2936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文创衍生商品收入（元）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2</w:t>
            </w: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4</w:t>
            </w: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6</w:t>
            </w: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8</w:t>
            </w: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10</w:t>
            </w: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56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8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293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14. </w:t>
      </w:r>
      <w:r>
        <w:rPr>
          <w:rFonts w:ascii="华文中宋" w:hAnsi="华文中宋" w:eastAsia="华文中宋" w:cs="PMingLiU"/>
          <w:lang w:eastAsia="zh-CN"/>
        </w:rPr>
        <w:t>本季度媒体报道、热点事件情况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博物馆被公众媒体报道的情况，可包括媒体名称、类型、频次和主要内容，以及其中的热点事件。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15. </w:t>
      </w:r>
      <w:r>
        <w:rPr>
          <w:rFonts w:ascii="华文中宋" w:hAnsi="华文中宋" w:eastAsia="华文中宋" w:cs="PMingLiU"/>
          <w:lang w:eastAsia="zh-CN"/>
        </w:rPr>
        <w:t>本季度获奖情况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表格文本题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博物馆本季度获得上级部门表彰奖励的有关情况。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3161"/>
        <w:gridCol w:w="190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1559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奖项名称</w:t>
            </w:r>
          </w:p>
        </w:tc>
        <w:tc>
          <w:tcPr>
            <w:tcW w:w="170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授奖单位</w:t>
            </w:r>
          </w:p>
        </w:tc>
        <w:tc>
          <w:tcPr>
            <w:tcW w:w="316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ascii="华文中宋" w:hAnsi="华文中宋" w:eastAsia="华文中宋"/>
                <w:lang w:eastAsia="zh-CN"/>
              </w:rPr>
              <w:t>奖项级别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  <w:lang w:eastAsia="zh-CN"/>
              </w:rPr>
              <w:t>（国家级/省厅级/地市级/其他）</w:t>
            </w:r>
          </w:p>
        </w:tc>
        <w:tc>
          <w:tcPr>
            <w:tcW w:w="1901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相关说明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2</w:t>
            </w:r>
          </w:p>
        </w:tc>
        <w:tc>
          <w:tcPr>
            <w:tcW w:w="155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4</w:t>
            </w:r>
          </w:p>
        </w:tc>
        <w:tc>
          <w:tcPr>
            <w:tcW w:w="155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6</w:t>
            </w:r>
          </w:p>
        </w:tc>
        <w:tc>
          <w:tcPr>
            <w:tcW w:w="155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8</w:t>
            </w:r>
          </w:p>
        </w:tc>
        <w:tc>
          <w:tcPr>
            <w:tcW w:w="155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</w:tblPrEx>
        <w:trPr>
          <w:trHeight w:val="360" w:hRule="atLeast"/>
        </w:trPr>
        <w:tc>
          <w:tcPr>
            <w:tcW w:w="5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</w:rPr>
              <w:t>10</w:t>
            </w:r>
          </w:p>
        </w:tc>
        <w:tc>
          <w:tcPr>
            <w:tcW w:w="155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7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316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  <w:tc>
          <w:tcPr>
            <w:tcW w:w="190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</w:p>
        </w:tc>
      </w:tr>
    </w:tbl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16. </w:t>
      </w:r>
      <w:r>
        <w:rPr>
          <w:rFonts w:ascii="华文中宋" w:hAnsi="华文中宋" w:eastAsia="华文中宋" w:cs="PMingLiU"/>
          <w:lang w:eastAsia="zh-CN"/>
        </w:rPr>
        <w:t>本季度国际交流互鉴情况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国际交流活动指博物馆举办研讨会、学术论坛等国际学术活动；国际合作项目指参加国际文物保护修复、展览策划等合作项目。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2518"/>
        <w:gridCol w:w="6338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18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6338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国际交流活动（个）</w:t>
            </w:r>
          </w:p>
        </w:tc>
        <w:tc>
          <w:tcPr>
            <w:tcW w:w="633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1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 w:cs="PMingLiU"/>
              </w:rPr>
              <w:t>国际合作项目（个）</w:t>
            </w:r>
          </w:p>
        </w:tc>
        <w:tc>
          <w:tcPr>
            <w:tcW w:w="633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17. </w:t>
      </w:r>
      <w:r>
        <w:rPr>
          <w:rFonts w:ascii="华文中宋" w:hAnsi="华文中宋" w:eastAsia="华文中宋" w:cs="PMingLiU"/>
          <w:lang w:eastAsia="zh-CN"/>
        </w:rPr>
        <w:t>本季度国际交流、国际合作亮点项目简介（</w:t>
      </w:r>
      <w:r>
        <w:rPr>
          <w:rFonts w:ascii="华文中宋" w:hAnsi="华文中宋" w:eastAsia="华文中宋"/>
          <w:lang w:eastAsia="zh-CN"/>
        </w:rPr>
        <w:t>200</w:t>
      </w:r>
      <w:r>
        <w:rPr>
          <w:rFonts w:ascii="华文中宋" w:hAnsi="华文中宋" w:eastAsia="华文中宋" w:cs="PMingLiU"/>
          <w:lang w:eastAsia="zh-CN"/>
        </w:rPr>
        <w:t>字以内）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填空题</w:t>
      </w:r>
      <w:r>
        <w:rPr>
          <w:rFonts w:ascii="华文中宋" w:hAnsi="华文中宋" w:eastAsia="华文中宋"/>
          <w:lang w:eastAsia="zh-CN"/>
        </w:rPr>
        <w:t>]</w:t>
      </w: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>_________________________________</w:t>
      </w:r>
    </w:p>
    <w:p>
      <w:pPr>
        <w:rPr>
          <w:rFonts w:ascii="华文中宋" w:hAnsi="华文中宋" w:eastAsia="华文中宋"/>
          <w:lang w:eastAsia="zh-CN"/>
        </w:rPr>
      </w:pPr>
    </w:p>
    <w:p>
      <w:pPr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18. </w:t>
      </w:r>
      <w:r>
        <w:rPr>
          <w:rFonts w:ascii="华文中宋" w:hAnsi="华文中宋" w:eastAsia="华文中宋" w:cs="PMingLiU"/>
          <w:lang w:eastAsia="zh-CN"/>
        </w:rPr>
        <w:t>本季度观众接待情况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矩阵文本题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博物馆线下接待参观观众的总人数，以及接待其中未成年观众（</w:t>
      </w:r>
      <w:r>
        <w:rPr>
          <w:rFonts w:ascii="华文中宋" w:hAnsi="华文中宋" w:eastAsia="华文中宋"/>
          <w:color w:val="999999"/>
          <w:lang w:eastAsia="zh-CN"/>
        </w:rPr>
        <w:t xml:space="preserve">18 </w:t>
      </w:r>
      <w:r>
        <w:rPr>
          <w:rFonts w:ascii="华文中宋" w:hAnsi="华文中宋" w:eastAsia="华文中宋" w:cs="PMingLiU"/>
          <w:color w:val="999999"/>
          <w:lang w:eastAsia="zh-CN"/>
        </w:rPr>
        <w:t>周岁以下）、本地居民观众、境外观众（外国以及港澳台地区观众）的数量。</w:t>
      </w:r>
    </w:p>
    <w:tbl>
      <w:tblPr>
        <w:tblStyle w:val="4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510"/>
        <w:gridCol w:w="5346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0" w:type="dxa"/>
            <w:shd w:val="clear" w:color="auto" w:fill="D9E5ED"/>
            <w:vAlign w:val="center"/>
          </w:tcPr>
          <w:p>
            <w:pPr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5346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参观观众总量（人次）</w:t>
            </w:r>
          </w:p>
        </w:tc>
        <w:tc>
          <w:tcPr>
            <w:tcW w:w="534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0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未成年观众数量（人次）</w:t>
            </w:r>
          </w:p>
        </w:tc>
        <w:tc>
          <w:tcPr>
            <w:tcW w:w="534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本地居民观众数量（人次）</w:t>
            </w:r>
          </w:p>
        </w:tc>
        <w:tc>
          <w:tcPr>
            <w:tcW w:w="5346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0" w:type="dxa"/>
            <w:shd w:val="clear" w:color="auto" w:fill="EFF6FB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color w:val="333333"/>
                <w:lang w:eastAsia="zh-CN"/>
              </w:rPr>
            </w:pPr>
            <w:r>
              <w:rPr>
                <w:rFonts w:ascii="华文中宋" w:hAnsi="华文中宋" w:eastAsia="华文中宋" w:cs="PMingLiU"/>
                <w:lang w:eastAsia="zh-CN"/>
              </w:rPr>
              <w:t>境外观众数量（人次）</w:t>
            </w:r>
          </w:p>
        </w:tc>
        <w:tc>
          <w:tcPr>
            <w:tcW w:w="5346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333333"/>
              </w:rPr>
            </w:pPr>
            <w:r>
              <w:rPr>
                <w:rFonts w:ascii="华文中宋" w:hAnsi="华文中宋" w:eastAsia="华文中宋"/>
                <w:color w:val="333333"/>
              </w:rPr>
              <w:t>________________________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19. </w:t>
      </w:r>
      <w:r>
        <w:rPr>
          <w:rFonts w:ascii="华文中宋" w:hAnsi="华文中宋" w:eastAsia="华文中宋" w:cs="PMingLiU"/>
          <w:lang w:eastAsia="zh-CN"/>
        </w:rPr>
        <w:t>本季度是否发生安全事件及发生次数</w:t>
      </w:r>
      <w:r>
        <w:rPr>
          <w:rFonts w:ascii="华文中宋" w:hAnsi="华文中宋" w:eastAsia="华文中宋"/>
          <w:lang w:eastAsia="zh-CN"/>
        </w:rPr>
        <w:t>[</w:t>
      </w:r>
      <w:r>
        <w:rPr>
          <w:rFonts w:ascii="华文中宋" w:hAnsi="华文中宋" w:eastAsia="华文中宋" w:cs="PMingLiU"/>
          <w:lang w:eastAsia="zh-CN"/>
        </w:rPr>
        <w:t>单选题</w:t>
      </w:r>
      <w:r>
        <w:rPr>
          <w:rFonts w:ascii="华文中宋" w:hAnsi="华文中宋" w:eastAsia="华文中宋"/>
          <w:lang w:eastAsia="zh-CN"/>
        </w:rPr>
        <w:t xml:space="preserve">] </w:t>
      </w:r>
      <w:r>
        <w:rPr>
          <w:rFonts w:ascii="华文中宋" w:hAnsi="华文中宋" w:eastAsia="华文中宋"/>
          <w:color w:val="FF0000"/>
          <w:lang w:eastAsia="zh-CN"/>
        </w:rPr>
        <w:t>*</w:t>
      </w:r>
    </w:p>
    <w:p>
      <w:pPr>
        <w:pBdr>
          <w:left w:val="none" w:color="auto" w:sz="0" w:space="9"/>
        </w:pBdr>
        <w:spacing w:before="75" w:after="75"/>
        <w:ind w:left="180"/>
        <w:rPr>
          <w:rFonts w:ascii="华文中宋" w:hAnsi="华文中宋" w:eastAsia="华文中宋"/>
          <w:color w:val="999999"/>
          <w:lang w:eastAsia="zh-CN"/>
        </w:rPr>
      </w:pPr>
      <w:r>
        <w:rPr>
          <w:rFonts w:ascii="华文中宋" w:hAnsi="华文中宋" w:eastAsia="华文中宋" w:cs="PMingLiU"/>
          <w:color w:val="999999"/>
          <w:lang w:eastAsia="zh-CN"/>
        </w:rPr>
        <w:t>博物馆发生的展品安全、观众安全、意识形态安全、信息安全事故的总和。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○</w:t>
            </w:r>
            <w:r>
              <w:rPr>
                <w:rFonts w:ascii="华文中宋" w:hAnsi="华文中宋" w:eastAsia="华文中宋" w:cs="PMingLiU"/>
              </w:rPr>
              <w:t>是</w:t>
            </w:r>
            <w:r>
              <w:rPr>
                <w:rFonts w:ascii="华文中宋" w:hAnsi="华文中宋" w:eastAsia="华文中宋"/>
              </w:rPr>
              <w:t xml:space="preserve"> _________________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○</w:t>
            </w:r>
            <w:r>
              <w:rPr>
                <w:rFonts w:ascii="华文中宋" w:hAnsi="华文中宋" w:eastAsia="华文中宋" w:cs="PMingLiU"/>
              </w:rPr>
              <w:t>否</w:t>
            </w:r>
          </w:p>
        </w:tc>
      </w:tr>
    </w:tbl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  <w:lang w:eastAsia="zh-CN"/>
        </w:rPr>
      </w:pPr>
      <w:r>
        <w:rPr>
          <w:rFonts w:ascii="华文中宋" w:hAnsi="华文中宋" w:eastAsia="华文中宋"/>
          <w:lang w:eastAsia="zh-CN"/>
        </w:rPr>
        <w:t xml:space="preserve">20. </w:t>
      </w:r>
      <w:r>
        <w:rPr>
          <w:rFonts w:ascii="华文中宋" w:hAnsi="华文中宋" w:eastAsia="华文中宋" w:cs="PMingLiU"/>
          <w:lang w:eastAsia="zh-CN"/>
        </w:rPr>
        <w:t>本季度发生的安全事故类型</w:t>
      </w:r>
      <w:r>
        <w:rPr>
          <w:rFonts w:ascii="华文中宋" w:hAnsi="华文中宋" w:eastAsia="华文中宋"/>
          <w:lang w:eastAsia="zh-CN"/>
        </w:rPr>
        <w:t xml:space="preserve"> [</w:t>
      </w:r>
      <w:r>
        <w:rPr>
          <w:rFonts w:ascii="华文中宋" w:hAnsi="华文中宋" w:eastAsia="华文中宋" w:cs="PMingLiU"/>
          <w:lang w:eastAsia="zh-CN"/>
        </w:rPr>
        <w:t>多选题</w:t>
      </w:r>
      <w:r>
        <w:rPr>
          <w:rFonts w:ascii="华文中宋" w:hAnsi="华文中宋" w:eastAsia="华文中宋"/>
          <w:lang w:eastAsia="zh-CN"/>
        </w:rPr>
        <w:t>]</w:t>
      </w:r>
      <w:r>
        <w:rPr>
          <w:rFonts w:ascii="华文中宋" w:hAnsi="华文中宋" w:eastAsia="华文中宋"/>
          <w:color w:val="FF0000"/>
          <w:lang w:eastAsia="zh-CN"/>
        </w:rPr>
        <w:t xml:space="preserve"> *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□</w:t>
            </w:r>
            <w:r>
              <w:rPr>
                <w:rFonts w:ascii="华文中宋" w:hAnsi="华文中宋" w:eastAsia="华文中宋" w:cs="PMingLiU"/>
              </w:rPr>
              <w:t>展品安全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□</w:t>
            </w:r>
            <w:r>
              <w:rPr>
                <w:rFonts w:ascii="华文中宋" w:hAnsi="华文中宋" w:eastAsia="华文中宋" w:cs="PMingLiU"/>
              </w:rPr>
              <w:t>观众安全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□</w:t>
            </w:r>
            <w:r>
              <w:rPr>
                <w:rFonts w:ascii="华文中宋" w:hAnsi="华文中宋" w:eastAsia="华文中宋" w:cs="PMingLiU"/>
              </w:rPr>
              <w:t>意识形态安全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微软雅黑"/>
                <w:sz w:val="28"/>
              </w:rPr>
            </w:pPr>
            <w:r>
              <w:rPr>
                <w:rFonts w:ascii="华文中宋" w:hAnsi="华文中宋" w:eastAsia="华文中宋"/>
              </w:rPr>
              <w:t>□</w:t>
            </w:r>
            <w:r>
              <w:rPr>
                <w:rFonts w:ascii="华文中宋" w:hAnsi="华文中宋" w:eastAsia="华文中宋" w:cs="PMingLiU"/>
              </w:rPr>
              <w:t>信息安全</w:t>
            </w:r>
          </w:p>
        </w:tc>
      </w:tr>
    </w:tbl>
    <w:p>
      <w:pPr>
        <w:rPr>
          <w:rFonts w:ascii="华文中宋" w:hAnsi="华文中宋" w:eastAsia="华文中宋"/>
          <w:color w:val="0066FF"/>
        </w:rPr>
      </w:pPr>
      <w:r>
        <w:rPr>
          <w:rFonts w:ascii="华文中宋" w:hAnsi="华文中宋" w:eastAsia="华文中宋" w:cs="PMingLiU"/>
          <w:color w:val="0066FF"/>
        </w:rPr>
        <w:t>依赖于第</w:t>
      </w:r>
      <w:r>
        <w:rPr>
          <w:rFonts w:ascii="华文中宋" w:hAnsi="华文中宋" w:eastAsia="华文中宋"/>
          <w:color w:val="0066FF"/>
        </w:rPr>
        <w:t>19</w:t>
      </w:r>
      <w:r>
        <w:rPr>
          <w:rFonts w:ascii="华文中宋" w:hAnsi="华文中宋" w:eastAsia="华文中宋" w:cs="PMingLiU"/>
          <w:color w:val="0066FF"/>
        </w:rPr>
        <w:t>题第</w:t>
      </w:r>
      <w:r>
        <w:rPr>
          <w:rFonts w:ascii="华文中宋" w:hAnsi="华文中宋" w:eastAsia="华文中宋"/>
          <w:color w:val="0066FF"/>
        </w:rPr>
        <w:t>1</w:t>
      </w:r>
      <w:r>
        <w:rPr>
          <w:rFonts w:ascii="华文中宋" w:hAnsi="华文中宋" w:eastAsia="华文中宋" w:cs="PMingLiU"/>
          <w:color w:val="0066FF"/>
        </w:rPr>
        <w:t>个选项</w:t>
      </w: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p>
      <w:pPr>
        <w:spacing w:line="360" w:lineRule="auto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 xml:space="preserve">21. </w:t>
      </w:r>
      <w:r>
        <w:rPr>
          <w:rFonts w:ascii="华文中宋" w:hAnsi="华文中宋" w:eastAsia="华文中宋" w:cs="PMingLiU"/>
        </w:rPr>
        <w:t>行业发展建议</w:t>
      </w:r>
      <w:r>
        <w:rPr>
          <w:rFonts w:ascii="华文中宋" w:hAnsi="华文中宋" w:eastAsia="华文中宋"/>
        </w:rPr>
        <w:t>[</w:t>
      </w:r>
      <w:r>
        <w:rPr>
          <w:rFonts w:ascii="华文中宋" w:hAnsi="华文中宋" w:eastAsia="华文中宋" w:cs="PMingLiU"/>
        </w:rPr>
        <w:t>填空题</w:t>
      </w:r>
      <w:r>
        <w:rPr>
          <w:rFonts w:ascii="华文中宋" w:hAnsi="华文中宋" w:eastAsia="华文中宋"/>
        </w:rPr>
        <w:t>]</w:t>
      </w:r>
    </w:p>
    <w:p>
      <w:pPr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>_________________________________</w:t>
      </w: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文泉驿微米黑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65FFC"/>
    <w:rsid w:val="000B7F78"/>
    <w:rsid w:val="00100A01"/>
    <w:rsid w:val="001C59EF"/>
    <w:rsid w:val="00280B07"/>
    <w:rsid w:val="0030020D"/>
    <w:rsid w:val="00344B02"/>
    <w:rsid w:val="003B0677"/>
    <w:rsid w:val="004148D9"/>
    <w:rsid w:val="004354A7"/>
    <w:rsid w:val="005B3C5C"/>
    <w:rsid w:val="006C043C"/>
    <w:rsid w:val="00707B6A"/>
    <w:rsid w:val="007E73F6"/>
    <w:rsid w:val="007F5640"/>
    <w:rsid w:val="008300DD"/>
    <w:rsid w:val="008A5330"/>
    <w:rsid w:val="00A52BC4"/>
    <w:rsid w:val="00A77B3E"/>
    <w:rsid w:val="00AA4DD9"/>
    <w:rsid w:val="00AF5E6E"/>
    <w:rsid w:val="00CA2A55"/>
    <w:rsid w:val="00D92EA3"/>
    <w:rsid w:val="00E56CB8"/>
    <w:rsid w:val="00E66F47"/>
    <w:rsid w:val="00F65420"/>
    <w:rsid w:val="76FF9224"/>
    <w:rsid w:val="7E6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1259</Words>
  <Characters>1852</Characters>
  <Lines>370</Lines>
  <Paragraphs>182</Paragraphs>
  <TotalTime>34</TotalTime>
  <ScaleCrop>false</ScaleCrop>
  <LinksUpToDate>false</LinksUpToDate>
  <CharactersWithSpaces>2929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2026-01-23T00:39:00Z</dcterms:created>
  <dc:creator>wangjing</dc:creator>
  <cp:lastModifiedBy>admin</cp:lastModifiedBy>
  <dcterms:modified xsi:type="dcterms:W3CDTF">2026-01-30T10:09:02Z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86CE75CBBFCAA681BE127C699E0D4770</vt:lpwstr>
  </property>
</Properties>
</file>