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3824">
      <w:pPr>
        <w:jc w:val="center"/>
        <w:rPr>
          <w:rFonts w:ascii="仿宋_GB2312" w:eastAsia="仿宋_GB2312"/>
          <w:b/>
          <w:sz w:val="32"/>
          <w:szCs w:val="32"/>
        </w:rPr>
      </w:pPr>
    </w:p>
    <w:p w14:paraId="1055754C">
      <w:pPr>
        <w:jc w:val="center"/>
        <w:rPr>
          <w:rFonts w:ascii="黑体" w:eastAsia="黑体"/>
          <w:sz w:val="72"/>
          <w:szCs w:val="72"/>
        </w:rPr>
      </w:pPr>
    </w:p>
    <w:p w14:paraId="2BA1726B">
      <w:pPr>
        <w:pStyle w:val="2"/>
      </w:pPr>
      <w:bookmarkStart w:id="0" w:name="_GoBack"/>
      <w:bookmarkEnd w:id="0"/>
    </w:p>
    <w:p w14:paraId="3AFF08F6">
      <w:pPr>
        <w:jc w:val="both"/>
        <w:rPr>
          <w:rFonts w:hint="default" w:ascii="黑体" w:eastAsia="黑体"/>
          <w:sz w:val="72"/>
          <w:szCs w:val="72"/>
          <w:lang w:val="en-US" w:eastAsia="zh-CN"/>
        </w:rPr>
      </w:pPr>
      <w:r>
        <w:rPr>
          <w:rFonts w:hint="eastAsia" w:ascii="黑体" w:eastAsia="黑体"/>
          <w:sz w:val="72"/>
          <w:szCs w:val="72"/>
          <w:lang w:val="en-US" w:eastAsia="zh-CN"/>
        </w:rPr>
        <w:t xml:space="preserve">        </w:t>
      </w:r>
    </w:p>
    <w:p w14:paraId="43C288F7">
      <w:pPr>
        <w:jc w:val="center"/>
        <w:rPr>
          <w:rFonts w:ascii="黑体" w:eastAsia="黑体"/>
          <w:sz w:val="72"/>
          <w:szCs w:val="72"/>
        </w:rPr>
      </w:pPr>
    </w:p>
    <w:p w14:paraId="70DBC07F">
      <w:pPr>
        <w:jc w:val="center"/>
        <w:rPr>
          <w:rFonts w:hint="default" w:ascii="黑体" w:eastAsia="黑体"/>
          <w:sz w:val="72"/>
          <w:szCs w:val="72"/>
          <w:lang w:val="en-US" w:eastAsia="zh-CN"/>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eastAsia="zh-CN"/>
        </w:rPr>
        <w:t>（</w:t>
      </w:r>
      <w:r>
        <w:rPr>
          <w:rFonts w:hint="eastAsia" w:ascii="黑体" w:eastAsia="黑体"/>
          <w:sz w:val="72"/>
          <w:szCs w:val="72"/>
          <w:lang w:val="en-US" w:eastAsia="zh-CN"/>
        </w:rPr>
        <w:t>公开）</w:t>
      </w:r>
    </w:p>
    <w:p w14:paraId="3A84E902">
      <w:pPr>
        <w:jc w:val="center"/>
        <w:rPr>
          <w:rFonts w:ascii="黑体" w:eastAsia="黑体"/>
          <w:sz w:val="52"/>
          <w:szCs w:val="52"/>
        </w:rPr>
      </w:pPr>
    </w:p>
    <w:p w14:paraId="254A40F1">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北京市文物局本级行政</w:t>
      </w:r>
    </w:p>
    <w:p w14:paraId="23F5C9DE">
      <w:pPr>
        <w:jc w:val="center"/>
        <w:rPr>
          <w:rFonts w:ascii="黑体" w:eastAsia="黑体"/>
          <w:sz w:val="52"/>
          <w:szCs w:val="52"/>
        </w:rPr>
      </w:pPr>
    </w:p>
    <w:p w14:paraId="3154A897">
      <w:pPr>
        <w:jc w:val="center"/>
        <w:rPr>
          <w:rFonts w:ascii="黑体" w:eastAsia="黑体"/>
          <w:sz w:val="52"/>
          <w:szCs w:val="52"/>
        </w:rPr>
      </w:pPr>
    </w:p>
    <w:p w14:paraId="19538C07">
      <w:pPr>
        <w:jc w:val="center"/>
        <w:rPr>
          <w:rFonts w:ascii="黑体" w:eastAsia="黑体"/>
          <w:sz w:val="52"/>
          <w:szCs w:val="52"/>
        </w:rPr>
      </w:pPr>
    </w:p>
    <w:p w14:paraId="499D42ED">
      <w:pPr>
        <w:jc w:val="center"/>
        <w:rPr>
          <w:rFonts w:ascii="黑体" w:eastAsia="黑体"/>
          <w:sz w:val="32"/>
          <w:szCs w:val="32"/>
        </w:rPr>
      </w:pPr>
    </w:p>
    <w:p w14:paraId="2AFEEE7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4AC33B8">
      <w:pPr>
        <w:spacing w:line="500" w:lineRule="exact"/>
        <w:ind w:firstLine="645"/>
        <w:jc w:val="center"/>
        <w:rPr>
          <w:rFonts w:hint="eastAsia" w:ascii="宋体" w:hAnsi="宋体" w:cs="宋体"/>
          <w:b/>
          <w:bCs/>
          <w:kern w:val="0"/>
          <w:sz w:val="36"/>
          <w:szCs w:val="36"/>
        </w:rPr>
      </w:pPr>
    </w:p>
    <w:p w14:paraId="7B0DD1E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4B0CCC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B3E842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1E437C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ECECB3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089300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6B95BD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8AB45B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B5B3F4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990601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9B1BC5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E0D223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22BA34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ABA3B1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B0886C0">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D6CF44D">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87A8AA3">
      <w:pPr>
        <w:tabs>
          <w:tab w:val="center" w:pos="6979"/>
        </w:tabs>
        <w:spacing w:before="156" w:beforeLines="50" w:after="156" w:afterLines="50"/>
        <w:jc w:val="center"/>
        <w:rPr>
          <w:rFonts w:ascii="宋体" w:hAnsi="宋体" w:cs="宋体"/>
          <w:b/>
          <w:bCs/>
          <w:spacing w:val="40"/>
          <w:kern w:val="0"/>
          <w:sz w:val="32"/>
          <w:szCs w:val="32"/>
        </w:rPr>
      </w:pPr>
    </w:p>
    <w:p w14:paraId="3EE117FB">
      <w:pPr>
        <w:tabs>
          <w:tab w:val="center" w:pos="6979"/>
        </w:tabs>
        <w:spacing w:before="156" w:beforeLines="50" w:after="156" w:afterLines="50"/>
        <w:jc w:val="center"/>
        <w:rPr>
          <w:rFonts w:ascii="宋体" w:hAnsi="宋体" w:cs="宋体"/>
          <w:b/>
          <w:bCs/>
          <w:spacing w:val="40"/>
          <w:kern w:val="0"/>
          <w:sz w:val="32"/>
          <w:szCs w:val="32"/>
        </w:rPr>
      </w:pPr>
    </w:p>
    <w:p w14:paraId="1DD9EEA5">
      <w:pPr>
        <w:tabs>
          <w:tab w:val="center" w:pos="6979"/>
        </w:tabs>
        <w:spacing w:before="156" w:beforeLines="50" w:after="156" w:afterLines="50"/>
        <w:jc w:val="center"/>
        <w:rPr>
          <w:rFonts w:ascii="宋体" w:hAnsi="宋体" w:cs="宋体"/>
          <w:b/>
          <w:bCs/>
          <w:spacing w:val="40"/>
          <w:kern w:val="0"/>
          <w:sz w:val="32"/>
          <w:szCs w:val="32"/>
        </w:rPr>
      </w:pPr>
    </w:p>
    <w:p w14:paraId="1E9F12EF">
      <w:pPr>
        <w:tabs>
          <w:tab w:val="center" w:pos="6979"/>
        </w:tabs>
        <w:spacing w:before="156" w:beforeLines="50" w:after="156" w:afterLines="50"/>
        <w:jc w:val="center"/>
        <w:rPr>
          <w:rFonts w:ascii="宋体" w:hAnsi="宋体" w:cs="宋体"/>
          <w:b/>
          <w:bCs/>
          <w:spacing w:val="40"/>
          <w:kern w:val="0"/>
          <w:sz w:val="32"/>
          <w:szCs w:val="32"/>
        </w:rPr>
      </w:pPr>
    </w:p>
    <w:p w14:paraId="1A5AF4EB">
      <w:pPr>
        <w:tabs>
          <w:tab w:val="center" w:pos="6979"/>
        </w:tabs>
        <w:spacing w:before="156" w:beforeLines="50" w:after="156" w:afterLines="50"/>
        <w:jc w:val="center"/>
        <w:rPr>
          <w:rFonts w:ascii="宋体" w:hAnsi="宋体" w:cs="宋体"/>
          <w:b/>
          <w:bCs/>
          <w:spacing w:val="40"/>
          <w:kern w:val="0"/>
          <w:sz w:val="32"/>
          <w:szCs w:val="32"/>
        </w:rPr>
      </w:pPr>
    </w:p>
    <w:p w14:paraId="09B801A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E5BD118">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A532916">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B3FE8A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3ED84BF">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14:paraId="69BDBB04">
      <w:pPr>
        <w:tabs>
          <w:tab w:val="center" w:pos="6979"/>
        </w:tabs>
        <w:spacing w:line="580" w:lineRule="exact"/>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1.单位机构设置</w:t>
      </w:r>
    </w:p>
    <w:p w14:paraId="1E4F5A8C">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北京市文物局</w:t>
      </w:r>
      <w:r>
        <w:rPr>
          <w:rFonts w:hint="eastAsia" w:ascii="仿宋_GB2312" w:hAnsi="Times New Roman" w:eastAsia="仿宋_GB2312" w:cs="Times New Roman"/>
          <w:sz w:val="28"/>
          <w:szCs w:val="28"/>
          <w:lang w:eastAsia="zh-CN"/>
        </w:rPr>
        <w:t>本级行政</w:t>
      </w:r>
      <w:r>
        <w:rPr>
          <w:rFonts w:hint="eastAsia" w:ascii="仿宋_GB2312" w:hAnsi="Times New Roman" w:eastAsia="仿宋_GB2312" w:cs="Times New Roman"/>
          <w:sz w:val="28"/>
          <w:szCs w:val="28"/>
        </w:rPr>
        <w:t>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14:paraId="22690ABB">
      <w:pPr>
        <w:tabs>
          <w:tab w:val="center" w:pos="6979"/>
        </w:tabs>
        <w:spacing w:line="580" w:lineRule="exact"/>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2.单位职责</w:t>
      </w:r>
    </w:p>
    <w:p w14:paraId="5E511D98">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北京市文物局是负责本市文物和博物馆事业管理工作的市政府直属机构。上级业务主管部门为国家文物局。主要职责如下：</w:t>
      </w:r>
    </w:p>
    <w:p w14:paraId="7865B058">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14:paraId="52F42299">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（2）负责本市世界文化遗产和文物保护单位管理工作，会同有关部门负责历史文化名城（镇、村）保护和监督管理工作，研究提出文物保护单位保护范围和建设控制地带的意见。</w:t>
      </w:r>
    </w:p>
    <w:p w14:paraId="623B235E">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（3）指导本市博物馆的业务工作，组织博物馆间的交流与协作，负责博物馆馆藏文物鉴定、登记、借用、调拨和交换的管理工作。</w:t>
      </w:r>
    </w:p>
    <w:p w14:paraId="1F6619E6">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（4）负责本市的考古调查、勘探和发掘工作；会同有关部门研究提出保护地下文物埋藏区的意见；负责出土文物的调用。</w:t>
      </w:r>
    </w:p>
    <w:p w14:paraId="2221754A">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（5）负责管理本市民间收藏文物及其流通活动；培育、引导和扶持文物和博物馆领域相关产业健康发展。</w:t>
      </w:r>
    </w:p>
    <w:p w14:paraId="69749AAA">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（6）负责本市文物和博物馆有关审核、审批事务及相关资质资格认定的管理工作。</w:t>
      </w:r>
    </w:p>
    <w:p w14:paraId="6F5748B6">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（7）依法负责本市文物行政执法工作，组织查处有关文物的违法违章案件；承担文物和博物馆安全工作的管理责任。</w:t>
      </w:r>
    </w:p>
    <w:p w14:paraId="2A2F60FC">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（8）负责本市文物保护的宣传工作；组织与国（境）内外的文物交流和展示活动。</w:t>
      </w:r>
    </w:p>
    <w:p w14:paraId="0A7CC692">
      <w:pPr>
        <w:tabs>
          <w:tab w:val="center" w:pos="6979"/>
        </w:tabs>
        <w:spacing w:line="580" w:lineRule="exact"/>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（9）规划、指导本市文物和博物馆领域专业人员培训工作；组织文物和博物馆领域科学研究及交流、文物科学保护工作。</w:t>
      </w:r>
    </w:p>
    <w:p w14:paraId="10951DE3">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（10）承办市政府交办的其他事项。</w:t>
      </w:r>
    </w:p>
    <w:p w14:paraId="16C7FE3E">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45EC1D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4327.02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127.70</w:t>
      </w:r>
      <w:r>
        <w:rPr>
          <w:rFonts w:hint="eastAsia" w:ascii="仿宋_GB2312" w:eastAsia="仿宋_GB2312"/>
          <w:sz w:val="28"/>
          <w:szCs w:val="28"/>
        </w:rPr>
        <w:t>万元，增长</w:t>
      </w:r>
      <w:r>
        <w:rPr>
          <w:rFonts w:hint="eastAsia" w:ascii="仿宋_GB2312" w:eastAsia="仿宋_GB2312"/>
          <w:sz w:val="28"/>
          <w:szCs w:val="28"/>
          <w:lang w:val="en-US" w:eastAsia="zh-CN"/>
        </w:rPr>
        <w:t>3.04</w:t>
      </w:r>
      <w:r>
        <w:rPr>
          <w:rFonts w:hint="eastAsia" w:ascii="仿宋_GB2312" w:eastAsia="仿宋_GB2312"/>
          <w:sz w:val="28"/>
          <w:szCs w:val="28"/>
        </w:rPr>
        <w:t>%。</w:t>
      </w:r>
    </w:p>
    <w:p w14:paraId="65EF787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06CCFD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4324.56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126.79</w:t>
      </w:r>
      <w:r>
        <w:rPr>
          <w:rFonts w:hint="eastAsia" w:ascii="仿宋_GB2312" w:eastAsia="仿宋_GB2312"/>
          <w:sz w:val="28"/>
          <w:szCs w:val="28"/>
        </w:rPr>
        <w:t>万元，增长</w:t>
      </w:r>
      <w:r>
        <w:rPr>
          <w:rFonts w:hint="eastAsia" w:ascii="仿宋_GB2312" w:eastAsia="仿宋_GB2312"/>
          <w:sz w:val="28"/>
          <w:szCs w:val="28"/>
          <w:lang w:val="en-US" w:eastAsia="zh-CN"/>
        </w:rPr>
        <w:t>3.02</w:t>
      </w:r>
      <w:r>
        <w:rPr>
          <w:rFonts w:hint="eastAsia" w:ascii="仿宋_GB2312" w:eastAsia="仿宋_GB2312"/>
          <w:sz w:val="28"/>
          <w:szCs w:val="28"/>
        </w:rPr>
        <w:t>%</w:t>
      </w:r>
      <w:r>
        <w:rPr>
          <w:rFonts w:hint="eastAsia" w:ascii="仿宋_GB2312" w:eastAsia="仿宋_GB2312"/>
          <w:sz w:val="28"/>
          <w:szCs w:val="28"/>
          <w:lang w:eastAsia="zh-CN"/>
        </w:rPr>
        <w:t>。</w:t>
      </w:r>
    </w:p>
    <w:p w14:paraId="2163AF1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4324.18</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4324.18</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D7CC61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0DB957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E98DE1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9E6183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E12649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0.39</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14:paraId="1DBED24A">
      <w:pPr>
        <w:pStyle w:val="3"/>
        <w:ind w:firstLine="0"/>
        <w:jc w:val="center"/>
      </w:pPr>
      <w:r>
        <w:rPr>
          <w:rFonts w:hint="eastAsia" w:ascii="仿宋_GB2312" w:eastAsia="仿宋_GB2312"/>
          <w:color w:val="000000"/>
          <w:sz w:val="32"/>
          <w:szCs w:val="32"/>
          <w:highlight w:val="none"/>
          <w:lang w:val="en-US" w:eastAsia="zh-CN"/>
        </w:rPr>
        <w:t>图1：收入预算</w:t>
      </w:r>
    </w:p>
    <w:p w14:paraId="1D833D23">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5228A0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4BC38C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4004.18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70.34</w:t>
      </w:r>
      <w:r>
        <w:rPr>
          <w:rFonts w:hint="eastAsia" w:ascii="仿宋_GB2312" w:eastAsia="仿宋_GB2312"/>
          <w:sz w:val="28"/>
          <w:szCs w:val="28"/>
        </w:rPr>
        <w:t>万元，下降</w:t>
      </w:r>
      <w:r>
        <w:rPr>
          <w:rFonts w:hint="eastAsia" w:ascii="仿宋_GB2312" w:eastAsia="仿宋_GB2312"/>
          <w:sz w:val="28"/>
          <w:szCs w:val="28"/>
          <w:lang w:val="en-US" w:eastAsia="zh-CN"/>
        </w:rPr>
        <w:t>1.73</w:t>
      </w:r>
      <w:r>
        <w:rPr>
          <w:rFonts w:hint="eastAsia" w:ascii="仿宋_GB2312" w:eastAsia="仿宋_GB2312"/>
          <w:sz w:val="28"/>
          <w:szCs w:val="28"/>
        </w:rPr>
        <w:t>%，其中：基本支出</w:t>
      </w:r>
      <w:r>
        <w:rPr>
          <w:rFonts w:ascii="仿宋_GB2312" w:eastAsia="仿宋_GB2312"/>
          <w:sz w:val="28"/>
          <w:szCs w:val="28"/>
        </w:rPr>
        <w:t>3970.91</w:t>
      </w:r>
      <w:r>
        <w:rPr>
          <w:rFonts w:hint="eastAsia" w:ascii="仿宋_GB2312" w:eastAsia="仿宋_GB2312"/>
          <w:sz w:val="28"/>
          <w:szCs w:val="28"/>
        </w:rPr>
        <w:t>万元，占支出合计的</w:t>
      </w:r>
      <w:r>
        <w:rPr>
          <w:rFonts w:hint="eastAsia" w:ascii="仿宋_GB2312" w:eastAsia="仿宋_GB2312"/>
          <w:sz w:val="28"/>
          <w:szCs w:val="28"/>
          <w:lang w:eastAsia="zh-CN"/>
        </w:rPr>
        <w:t>99.17</w:t>
      </w:r>
      <w:r>
        <w:rPr>
          <w:rFonts w:hint="eastAsia" w:ascii="仿宋_GB2312" w:eastAsia="仿宋_GB2312"/>
          <w:sz w:val="28"/>
          <w:szCs w:val="28"/>
        </w:rPr>
        <w:t>%；项目支出</w:t>
      </w:r>
      <w:r>
        <w:rPr>
          <w:rFonts w:ascii="仿宋_GB2312" w:eastAsia="仿宋_GB2312"/>
          <w:sz w:val="28"/>
          <w:szCs w:val="28"/>
        </w:rPr>
        <w:t>33.27</w:t>
      </w:r>
      <w:r>
        <w:rPr>
          <w:rFonts w:hint="eastAsia" w:ascii="仿宋_GB2312" w:eastAsia="仿宋_GB2312"/>
          <w:sz w:val="28"/>
          <w:szCs w:val="28"/>
        </w:rPr>
        <w:t>万元，占支出合计的</w:t>
      </w:r>
      <w:r>
        <w:rPr>
          <w:rFonts w:hint="eastAsia" w:ascii="仿宋_GB2312" w:eastAsia="仿宋_GB2312"/>
          <w:sz w:val="28"/>
          <w:szCs w:val="28"/>
          <w:lang w:eastAsia="zh-CN"/>
        </w:rPr>
        <w:t>0.83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76C7899">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6086C9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BD3DE8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B3DB5D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4326.63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129.83</w:t>
      </w:r>
      <w:r>
        <w:rPr>
          <w:rFonts w:hint="eastAsia" w:ascii="仿宋_GB2312" w:eastAsia="仿宋_GB2312"/>
          <w:sz w:val="28"/>
          <w:szCs w:val="28"/>
        </w:rPr>
        <w:t>万元，增长</w:t>
      </w:r>
      <w:r>
        <w:rPr>
          <w:rFonts w:hint="eastAsia" w:ascii="仿宋_GB2312" w:eastAsia="仿宋_GB2312"/>
          <w:sz w:val="28"/>
          <w:szCs w:val="28"/>
          <w:lang w:val="en-US" w:eastAsia="zh-CN"/>
        </w:rPr>
        <w:t>3.09</w:t>
      </w:r>
      <w:r>
        <w:rPr>
          <w:rFonts w:hint="eastAsia" w:ascii="仿宋_GB2312" w:eastAsia="仿宋_GB2312"/>
          <w:sz w:val="28"/>
          <w:szCs w:val="28"/>
        </w:rPr>
        <w:t>%。主要原因：资结构调整、职工干部养老金基数调整导致经费增加。</w:t>
      </w:r>
    </w:p>
    <w:p w14:paraId="291CF9F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1E5B62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D3A3CB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4004.09</w:t>
      </w:r>
      <w:r>
        <w:rPr>
          <w:rFonts w:hint="eastAsia" w:ascii="仿宋_GB2312" w:eastAsia="仿宋_GB2312"/>
          <w:sz w:val="28"/>
          <w:szCs w:val="28"/>
        </w:rPr>
        <w:t>万元，主要用于以下方面（按大类）：文化旅游体育与传媒支出</w:t>
      </w:r>
      <w:r>
        <w:rPr>
          <w:rFonts w:hint="eastAsia" w:ascii="仿宋_GB2312" w:eastAsia="仿宋_GB2312"/>
          <w:sz w:val="28"/>
          <w:szCs w:val="28"/>
          <w:lang w:val="en-US" w:eastAsia="zh-CN"/>
        </w:rPr>
        <w:t>3827.76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95.60</w:t>
      </w:r>
      <w:r>
        <w:rPr>
          <w:rFonts w:hint="eastAsia" w:ascii="仿宋_GB2312" w:eastAsia="仿宋_GB2312"/>
          <w:sz w:val="28"/>
          <w:szCs w:val="28"/>
        </w:rPr>
        <w:t>%；社会保障和就业支出</w:t>
      </w:r>
      <w:r>
        <w:rPr>
          <w:rFonts w:hint="eastAsia" w:ascii="仿宋_GB2312" w:eastAsia="仿宋_GB2312"/>
          <w:sz w:val="28"/>
          <w:szCs w:val="28"/>
          <w:lang w:val="en-US" w:eastAsia="zh-CN"/>
        </w:rPr>
        <w:t>174.34万元，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4.35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教育支出1.99万，</w:t>
      </w:r>
      <w:r>
        <w:rPr>
          <w:rFonts w:hint="eastAsia" w:ascii="仿宋_GB2312" w:eastAsia="仿宋_GB2312"/>
          <w:sz w:val="28"/>
          <w:szCs w:val="28"/>
        </w:rPr>
        <w:t>占本年财政拨款支出</w:t>
      </w:r>
      <w:r>
        <w:rPr>
          <w:rFonts w:hint="eastAsia" w:ascii="仿宋_GB2312" w:eastAsia="仿宋_GB2312"/>
          <w:sz w:val="28"/>
          <w:szCs w:val="28"/>
          <w:lang w:val="en-US" w:eastAsia="zh-CN"/>
        </w:rPr>
        <w:t>0.05%</w:t>
      </w:r>
      <w:r>
        <w:rPr>
          <w:rFonts w:hint="eastAsia" w:ascii="仿宋_GB2312" w:eastAsia="仿宋_GB2312"/>
          <w:sz w:val="28"/>
          <w:szCs w:val="28"/>
        </w:rPr>
        <w:t xml:space="preserve"> 。</w:t>
      </w:r>
    </w:p>
    <w:p w14:paraId="5316ECD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F0DD8AB">
      <w:pPr>
        <w:autoSpaceDE w:val="0"/>
        <w:autoSpaceDN w:val="0"/>
        <w:adjustRightInd w:val="0"/>
        <w:spacing w:line="58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rPr>
        <w:t>1、“文化旅游体育与传媒支出”（类）202</w:t>
      </w:r>
      <w:r>
        <w:rPr>
          <w:rFonts w:hint="eastAsia" w:ascii="仿宋" w:hAnsi="仿宋" w:eastAsia="仿宋" w:cs="仿宋"/>
          <w:sz w:val="28"/>
          <w:szCs w:val="28"/>
          <w:lang w:val="en-US" w:eastAsia="zh-CN"/>
        </w:rPr>
        <w:t>4</w:t>
      </w:r>
      <w:r>
        <w:rPr>
          <w:rFonts w:hint="eastAsia" w:ascii="仿宋" w:hAnsi="仿宋" w:eastAsia="仿宋" w:cs="仿宋"/>
          <w:sz w:val="28"/>
          <w:szCs w:val="28"/>
        </w:rPr>
        <w:t>年度决算</w:t>
      </w:r>
      <w:r>
        <w:rPr>
          <w:rFonts w:hint="eastAsia" w:ascii="仿宋" w:hAnsi="仿宋" w:eastAsia="仿宋" w:cs="仿宋"/>
          <w:sz w:val="28"/>
          <w:szCs w:val="28"/>
          <w:lang w:val="en-US" w:eastAsia="zh-CN"/>
        </w:rPr>
        <w:t>3827.76</w:t>
      </w:r>
      <w:r>
        <w:rPr>
          <w:rFonts w:hint="eastAsia" w:ascii="仿宋" w:hAnsi="仿宋" w:eastAsia="仿宋" w:cs="仿宋"/>
          <w:sz w:val="28"/>
          <w:szCs w:val="28"/>
        </w:rPr>
        <w:t>万元，比202</w:t>
      </w:r>
      <w:r>
        <w:rPr>
          <w:rFonts w:hint="eastAsia" w:ascii="仿宋" w:hAnsi="仿宋" w:eastAsia="仿宋" w:cs="仿宋"/>
          <w:sz w:val="28"/>
          <w:szCs w:val="28"/>
          <w:lang w:val="en-US" w:eastAsia="zh-CN"/>
        </w:rPr>
        <w:t>4</w:t>
      </w:r>
      <w:r>
        <w:rPr>
          <w:rFonts w:hint="eastAsia" w:ascii="仿宋" w:hAnsi="仿宋" w:eastAsia="仿宋" w:cs="仿宋"/>
          <w:sz w:val="28"/>
          <w:szCs w:val="28"/>
        </w:rPr>
        <w:t>年度年初预算减少</w:t>
      </w:r>
      <w:r>
        <w:rPr>
          <w:rFonts w:hint="eastAsia" w:ascii="仿宋" w:hAnsi="仿宋" w:eastAsia="仿宋" w:cs="仿宋"/>
          <w:sz w:val="28"/>
          <w:szCs w:val="28"/>
          <w:lang w:val="en-US" w:eastAsia="zh-CN"/>
        </w:rPr>
        <w:t>710.01</w:t>
      </w:r>
      <w:r>
        <w:rPr>
          <w:rFonts w:hint="eastAsia" w:ascii="仿宋" w:hAnsi="仿宋" w:eastAsia="仿宋" w:cs="仿宋"/>
          <w:sz w:val="28"/>
          <w:szCs w:val="28"/>
        </w:rPr>
        <w:t>万元，下降</w:t>
      </w:r>
      <w:r>
        <w:rPr>
          <w:rFonts w:hint="eastAsia" w:ascii="仿宋" w:hAnsi="仿宋" w:eastAsia="仿宋" w:cs="仿宋"/>
          <w:sz w:val="28"/>
          <w:szCs w:val="28"/>
          <w:lang w:val="en-US" w:eastAsia="zh-CN"/>
        </w:rPr>
        <w:t>15.65</w:t>
      </w:r>
      <w:r>
        <w:rPr>
          <w:rFonts w:hint="eastAsia" w:ascii="仿宋" w:hAnsi="仿宋" w:eastAsia="仿宋" w:cs="仿宋"/>
          <w:sz w:val="28"/>
          <w:szCs w:val="28"/>
        </w:rPr>
        <w:t>%。其中：</w:t>
      </w:r>
    </w:p>
    <w:p w14:paraId="61859367">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highlight w:val="none"/>
        </w:rPr>
        <w:t>“文物”（款）202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年度决算</w:t>
      </w:r>
      <w:r>
        <w:rPr>
          <w:rFonts w:hint="eastAsia" w:ascii="仿宋" w:hAnsi="仿宋" w:eastAsia="仿宋" w:cs="仿宋"/>
          <w:sz w:val="28"/>
          <w:szCs w:val="28"/>
          <w:highlight w:val="none"/>
          <w:lang w:val="en-US" w:eastAsia="zh-CN"/>
        </w:rPr>
        <w:t>3827.76</w:t>
      </w:r>
      <w:r>
        <w:rPr>
          <w:rFonts w:hint="eastAsia" w:ascii="仿宋" w:hAnsi="仿宋" w:eastAsia="仿宋" w:cs="仿宋"/>
          <w:sz w:val="28"/>
          <w:szCs w:val="28"/>
          <w:highlight w:val="none"/>
        </w:rPr>
        <w:t>万元，比202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年度年初预算增加减少</w:t>
      </w:r>
      <w:r>
        <w:rPr>
          <w:rFonts w:hint="eastAsia" w:ascii="仿宋" w:hAnsi="仿宋" w:eastAsia="仿宋" w:cs="仿宋"/>
          <w:sz w:val="28"/>
          <w:szCs w:val="28"/>
          <w:highlight w:val="none"/>
          <w:lang w:val="en-US" w:eastAsia="zh-CN"/>
        </w:rPr>
        <w:t>710.01</w:t>
      </w:r>
      <w:r>
        <w:rPr>
          <w:rFonts w:hint="eastAsia" w:ascii="仿宋" w:hAnsi="仿宋" w:eastAsia="仿宋" w:cs="仿宋"/>
          <w:sz w:val="28"/>
          <w:szCs w:val="28"/>
          <w:highlight w:val="none"/>
        </w:rPr>
        <w:t>万元，下降</w:t>
      </w:r>
      <w:r>
        <w:rPr>
          <w:rFonts w:hint="eastAsia" w:ascii="仿宋" w:hAnsi="仿宋" w:eastAsia="仿宋" w:cs="仿宋"/>
          <w:sz w:val="28"/>
          <w:szCs w:val="28"/>
          <w:highlight w:val="none"/>
          <w:lang w:val="en-US" w:eastAsia="zh-CN"/>
        </w:rPr>
        <w:t>15.65</w:t>
      </w:r>
      <w:r>
        <w:rPr>
          <w:rFonts w:hint="eastAsia" w:ascii="仿宋" w:hAnsi="仿宋" w:eastAsia="仿宋" w:cs="仿宋"/>
          <w:sz w:val="28"/>
          <w:szCs w:val="28"/>
          <w:highlight w:val="none"/>
        </w:rPr>
        <w:t>%。主要原因：</w:t>
      </w:r>
      <w:r>
        <w:rPr>
          <w:rFonts w:hint="eastAsia" w:ascii="仿宋" w:hAnsi="仿宋" w:eastAsia="仿宋" w:cs="仿宋"/>
          <w:sz w:val="28"/>
          <w:szCs w:val="28"/>
          <w:highlight w:val="none"/>
          <w:lang w:val="en-US" w:eastAsia="zh-CN"/>
        </w:rPr>
        <w:t>落实政府过紧日子要求，减少</w:t>
      </w:r>
      <w:r>
        <w:rPr>
          <w:rFonts w:hint="eastAsia" w:ascii="仿宋_GB2312" w:eastAsia="仿宋_GB2312"/>
          <w:sz w:val="28"/>
          <w:szCs w:val="28"/>
        </w:rPr>
        <w:t>一般性支出和非紧急非必需支出</w:t>
      </w:r>
      <w:r>
        <w:rPr>
          <w:rFonts w:hint="eastAsia" w:ascii="仿宋" w:hAnsi="仿宋" w:eastAsia="仿宋" w:cs="仿宋"/>
          <w:sz w:val="28"/>
          <w:szCs w:val="28"/>
        </w:rPr>
        <w:t>。</w:t>
      </w:r>
    </w:p>
    <w:p w14:paraId="1DFD687B">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2、“社会保障和就业支出”(类)202</w:t>
      </w:r>
      <w:r>
        <w:rPr>
          <w:rFonts w:hint="eastAsia" w:ascii="仿宋" w:hAnsi="仿宋" w:eastAsia="仿宋" w:cs="仿宋"/>
          <w:sz w:val="28"/>
          <w:szCs w:val="28"/>
          <w:lang w:val="en-US" w:eastAsia="zh-CN"/>
        </w:rPr>
        <w:t>4</w:t>
      </w:r>
      <w:r>
        <w:rPr>
          <w:rFonts w:hint="eastAsia" w:ascii="仿宋" w:hAnsi="仿宋" w:eastAsia="仿宋" w:cs="仿宋"/>
          <w:sz w:val="28"/>
          <w:szCs w:val="28"/>
        </w:rPr>
        <w:t>年度决算</w:t>
      </w:r>
      <w:r>
        <w:rPr>
          <w:rFonts w:hint="eastAsia" w:ascii="仿宋" w:hAnsi="仿宋" w:eastAsia="仿宋" w:cs="仿宋"/>
          <w:sz w:val="28"/>
          <w:szCs w:val="28"/>
          <w:lang w:val="en-US" w:eastAsia="zh-CN"/>
        </w:rPr>
        <w:t>174.34</w:t>
      </w:r>
      <w:r>
        <w:rPr>
          <w:rFonts w:hint="eastAsia" w:ascii="仿宋" w:hAnsi="仿宋" w:eastAsia="仿宋" w:cs="仿宋"/>
          <w:sz w:val="28"/>
          <w:szCs w:val="28"/>
        </w:rPr>
        <w:t>万元，比202</w:t>
      </w:r>
      <w:r>
        <w:rPr>
          <w:rFonts w:hint="eastAsia" w:ascii="仿宋" w:hAnsi="仿宋" w:eastAsia="仿宋" w:cs="仿宋"/>
          <w:sz w:val="28"/>
          <w:szCs w:val="28"/>
          <w:lang w:val="en-US" w:eastAsia="zh-CN"/>
        </w:rPr>
        <w:t>4</w:t>
      </w:r>
      <w:r>
        <w:rPr>
          <w:rFonts w:hint="eastAsia" w:ascii="仿宋" w:hAnsi="仿宋" w:eastAsia="仿宋" w:cs="仿宋"/>
          <w:sz w:val="28"/>
          <w:szCs w:val="28"/>
        </w:rPr>
        <w:t>年度年初预算增加</w:t>
      </w:r>
      <w:r>
        <w:rPr>
          <w:rFonts w:hint="eastAsia" w:ascii="仿宋" w:hAnsi="仿宋" w:eastAsia="仿宋" w:cs="仿宋"/>
          <w:sz w:val="28"/>
          <w:szCs w:val="28"/>
          <w:lang w:val="en-US" w:eastAsia="zh-CN"/>
        </w:rPr>
        <w:t>11.60</w:t>
      </w:r>
      <w:r>
        <w:rPr>
          <w:rFonts w:hint="eastAsia" w:ascii="仿宋" w:hAnsi="仿宋" w:eastAsia="仿宋" w:cs="仿宋"/>
          <w:sz w:val="28"/>
          <w:szCs w:val="28"/>
        </w:rPr>
        <w:t>万元，增长</w:t>
      </w:r>
      <w:r>
        <w:rPr>
          <w:rFonts w:hint="eastAsia" w:ascii="仿宋" w:hAnsi="仿宋" w:eastAsia="仿宋" w:cs="仿宋"/>
          <w:sz w:val="28"/>
          <w:szCs w:val="28"/>
          <w:lang w:val="en-US" w:eastAsia="zh-CN"/>
        </w:rPr>
        <w:t>7.13</w:t>
      </w:r>
      <w:r>
        <w:rPr>
          <w:rFonts w:hint="eastAsia" w:ascii="仿宋" w:hAnsi="仿宋" w:eastAsia="仿宋" w:cs="仿宋"/>
          <w:sz w:val="28"/>
          <w:szCs w:val="28"/>
        </w:rPr>
        <w:t>%。其中：</w:t>
      </w:r>
    </w:p>
    <w:p w14:paraId="615A7DCE">
      <w:pPr>
        <w:spacing w:line="580" w:lineRule="exact"/>
        <w:ind w:firstLine="560" w:firstLineChars="200"/>
        <w:rPr>
          <w:rFonts w:hint="default" w:ascii="仿宋" w:hAnsi="仿宋" w:eastAsia="仿宋" w:cs="仿宋"/>
          <w:sz w:val="28"/>
          <w:szCs w:val="28"/>
          <w:highlight w:val="red"/>
          <w:lang w:val="en-US" w:eastAsia="zh-CN"/>
        </w:rPr>
      </w:pPr>
      <w:r>
        <w:rPr>
          <w:rFonts w:hint="eastAsia" w:ascii="仿宋" w:hAnsi="仿宋" w:eastAsia="仿宋" w:cs="仿宋"/>
          <w:sz w:val="28"/>
          <w:szCs w:val="28"/>
        </w:rPr>
        <w:t>“</w:t>
      </w:r>
      <w:r>
        <w:rPr>
          <w:rFonts w:hint="eastAsia" w:ascii="仿宋" w:hAnsi="仿宋" w:eastAsia="仿宋" w:cs="仿宋"/>
          <w:sz w:val="28"/>
          <w:szCs w:val="28"/>
          <w:lang w:val="en-US" w:eastAsia="zh-CN"/>
        </w:rPr>
        <w:t>行政事业单位养老支出</w:t>
      </w:r>
      <w:r>
        <w:rPr>
          <w:rFonts w:hint="eastAsia" w:ascii="仿宋" w:hAnsi="仿宋" w:eastAsia="仿宋" w:cs="仿宋"/>
          <w:sz w:val="28"/>
          <w:szCs w:val="28"/>
        </w:rPr>
        <w:t>”（款）202</w:t>
      </w:r>
      <w:r>
        <w:rPr>
          <w:rFonts w:hint="eastAsia" w:ascii="仿宋" w:hAnsi="仿宋" w:eastAsia="仿宋" w:cs="仿宋"/>
          <w:sz w:val="28"/>
          <w:szCs w:val="28"/>
          <w:lang w:val="en-US" w:eastAsia="zh-CN"/>
        </w:rPr>
        <w:t>4</w:t>
      </w:r>
      <w:r>
        <w:rPr>
          <w:rFonts w:hint="eastAsia" w:ascii="仿宋" w:hAnsi="仿宋" w:eastAsia="仿宋" w:cs="仿宋"/>
          <w:sz w:val="28"/>
          <w:szCs w:val="28"/>
        </w:rPr>
        <w:t>年度决算</w:t>
      </w:r>
      <w:r>
        <w:rPr>
          <w:rFonts w:hint="eastAsia" w:ascii="仿宋" w:hAnsi="仿宋" w:eastAsia="仿宋" w:cs="仿宋"/>
          <w:sz w:val="28"/>
          <w:szCs w:val="28"/>
          <w:lang w:val="en-US" w:eastAsia="zh-CN"/>
        </w:rPr>
        <w:t>174.34</w:t>
      </w:r>
      <w:r>
        <w:rPr>
          <w:rFonts w:hint="eastAsia" w:ascii="仿宋" w:hAnsi="仿宋" w:eastAsia="仿宋" w:cs="仿宋"/>
          <w:sz w:val="28"/>
          <w:szCs w:val="28"/>
        </w:rPr>
        <w:t>万元，比202</w:t>
      </w:r>
      <w:r>
        <w:rPr>
          <w:rFonts w:hint="eastAsia" w:ascii="仿宋" w:hAnsi="仿宋" w:eastAsia="仿宋" w:cs="仿宋"/>
          <w:sz w:val="28"/>
          <w:szCs w:val="28"/>
          <w:lang w:val="en-US" w:eastAsia="zh-CN"/>
        </w:rPr>
        <w:t>4</w:t>
      </w:r>
      <w:r>
        <w:rPr>
          <w:rFonts w:hint="eastAsia" w:ascii="仿宋" w:hAnsi="仿宋" w:eastAsia="仿宋" w:cs="仿宋"/>
          <w:sz w:val="28"/>
          <w:szCs w:val="28"/>
        </w:rPr>
        <w:t>年度年初预算增加</w:t>
      </w:r>
      <w:r>
        <w:rPr>
          <w:rFonts w:hint="eastAsia" w:ascii="仿宋" w:hAnsi="仿宋" w:eastAsia="仿宋" w:cs="仿宋"/>
          <w:sz w:val="28"/>
          <w:szCs w:val="28"/>
          <w:lang w:val="en-US" w:eastAsia="zh-CN"/>
        </w:rPr>
        <w:t>11.60</w:t>
      </w:r>
      <w:r>
        <w:rPr>
          <w:rFonts w:hint="eastAsia" w:ascii="仿宋" w:hAnsi="仿宋" w:eastAsia="仿宋" w:cs="仿宋"/>
          <w:sz w:val="28"/>
          <w:szCs w:val="28"/>
        </w:rPr>
        <w:t>万元，增长</w:t>
      </w:r>
      <w:r>
        <w:rPr>
          <w:rFonts w:hint="eastAsia" w:ascii="仿宋" w:hAnsi="仿宋" w:eastAsia="仿宋" w:cs="仿宋"/>
          <w:sz w:val="28"/>
          <w:szCs w:val="28"/>
          <w:lang w:val="en-US" w:eastAsia="zh-CN"/>
        </w:rPr>
        <w:t>7.13</w:t>
      </w:r>
      <w:r>
        <w:rPr>
          <w:rFonts w:hint="eastAsia" w:ascii="仿宋" w:hAnsi="仿宋" w:eastAsia="仿宋" w:cs="仿宋"/>
          <w:sz w:val="28"/>
          <w:szCs w:val="28"/>
        </w:rPr>
        <w:t>%。</w:t>
      </w:r>
      <w:r>
        <w:rPr>
          <w:rFonts w:hint="eastAsia" w:ascii="仿宋" w:hAnsi="仿宋" w:eastAsia="仿宋" w:cs="仿宋"/>
          <w:sz w:val="28"/>
          <w:szCs w:val="28"/>
          <w:highlight w:val="none"/>
        </w:rPr>
        <w:t>主要原因：</w:t>
      </w:r>
      <w:r>
        <w:rPr>
          <w:rFonts w:hint="eastAsia" w:ascii="仿宋" w:hAnsi="仿宋" w:eastAsia="仿宋" w:cs="仿宋"/>
          <w:sz w:val="28"/>
          <w:szCs w:val="28"/>
          <w:highlight w:val="none"/>
          <w:lang w:val="en-US" w:eastAsia="zh-CN"/>
        </w:rPr>
        <w:t>离退休人员增加，导致经费增加。</w:t>
      </w:r>
    </w:p>
    <w:p w14:paraId="17A71254">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教育支出</w:t>
      </w:r>
      <w:r>
        <w:rPr>
          <w:rFonts w:hint="eastAsia" w:ascii="仿宋" w:hAnsi="仿宋" w:eastAsia="仿宋" w:cs="仿宋"/>
          <w:sz w:val="28"/>
          <w:szCs w:val="28"/>
        </w:rPr>
        <w:t>”(类)202</w:t>
      </w:r>
      <w:r>
        <w:rPr>
          <w:rFonts w:hint="eastAsia" w:ascii="仿宋" w:hAnsi="仿宋" w:eastAsia="仿宋" w:cs="仿宋"/>
          <w:sz w:val="28"/>
          <w:szCs w:val="28"/>
          <w:lang w:val="en-US" w:eastAsia="zh-CN"/>
        </w:rPr>
        <w:t>4</w:t>
      </w:r>
      <w:r>
        <w:rPr>
          <w:rFonts w:hint="eastAsia" w:ascii="仿宋" w:hAnsi="仿宋" w:eastAsia="仿宋" w:cs="仿宋"/>
          <w:sz w:val="28"/>
          <w:szCs w:val="28"/>
        </w:rPr>
        <w:t>年度决算</w:t>
      </w:r>
      <w:r>
        <w:rPr>
          <w:rFonts w:hint="eastAsia" w:ascii="仿宋" w:hAnsi="仿宋" w:eastAsia="仿宋" w:cs="仿宋"/>
          <w:sz w:val="28"/>
          <w:szCs w:val="28"/>
          <w:lang w:val="en-US" w:eastAsia="zh-CN"/>
        </w:rPr>
        <w:t>1.99</w:t>
      </w:r>
      <w:r>
        <w:rPr>
          <w:rFonts w:hint="eastAsia" w:ascii="仿宋" w:hAnsi="仿宋" w:eastAsia="仿宋" w:cs="仿宋"/>
          <w:sz w:val="28"/>
          <w:szCs w:val="28"/>
        </w:rPr>
        <w:t>万元，比202</w:t>
      </w:r>
      <w:r>
        <w:rPr>
          <w:rFonts w:hint="eastAsia" w:ascii="仿宋" w:hAnsi="仿宋" w:eastAsia="仿宋" w:cs="仿宋"/>
          <w:sz w:val="28"/>
          <w:szCs w:val="28"/>
          <w:lang w:val="en-US" w:eastAsia="zh-CN"/>
        </w:rPr>
        <w:t>4</w:t>
      </w:r>
      <w:r>
        <w:rPr>
          <w:rFonts w:hint="eastAsia" w:ascii="仿宋" w:hAnsi="仿宋" w:eastAsia="仿宋" w:cs="仿宋"/>
          <w:sz w:val="28"/>
          <w:szCs w:val="28"/>
        </w:rPr>
        <w:t>年度年初预算减少</w:t>
      </w:r>
      <w:r>
        <w:rPr>
          <w:rFonts w:hint="eastAsia" w:ascii="仿宋" w:hAnsi="仿宋" w:eastAsia="仿宋" w:cs="仿宋"/>
          <w:sz w:val="28"/>
          <w:szCs w:val="28"/>
          <w:lang w:val="en-US" w:eastAsia="zh-CN"/>
        </w:rPr>
        <w:t>10.41</w:t>
      </w:r>
      <w:r>
        <w:rPr>
          <w:rFonts w:hint="eastAsia" w:ascii="仿宋" w:hAnsi="仿宋" w:eastAsia="仿宋" w:cs="仿宋"/>
          <w:sz w:val="28"/>
          <w:szCs w:val="28"/>
        </w:rPr>
        <w:t>万元，下降</w:t>
      </w:r>
      <w:r>
        <w:rPr>
          <w:rFonts w:hint="eastAsia" w:ascii="仿宋" w:hAnsi="仿宋" w:eastAsia="仿宋" w:cs="仿宋"/>
          <w:sz w:val="28"/>
          <w:szCs w:val="28"/>
          <w:lang w:val="en-US" w:eastAsia="zh-CN"/>
        </w:rPr>
        <w:t>83.95</w:t>
      </w:r>
      <w:r>
        <w:rPr>
          <w:rFonts w:hint="eastAsia" w:ascii="仿宋" w:hAnsi="仿宋" w:eastAsia="仿宋" w:cs="仿宋"/>
          <w:sz w:val="28"/>
          <w:szCs w:val="28"/>
        </w:rPr>
        <w:t>%。其中：</w:t>
      </w:r>
    </w:p>
    <w:p w14:paraId="4CC21757">
      <w:pPr>
        <w:spacing w:line="580" w:lineRule="exact"/>
        <w:ind w:firstLine="560" w:firstLineChars="200"/>
        <w:rPr>
          <w:rFonts w:hint="eastAsia"/>
        </w:rPr>
      </w:pPr>
      <w:r>
        <w:rPr>
          <w:rFonts w:hint="eastAsia" w:ascii="仿宋" w:hAnsi="仿宋" w:eastAsia="仿宋" w:cs="仿宋"/>
          <w:sz w:val="28"/>
          <w:szCs w:val="28"/>
        </w:rPr>
        <w:t>“</w:t>
      </w:r>
      <w:r>
        <w:rPr>
          <w:rFonts w:hint="eastAsia" w:ascii="仿宋" w:hAnsi="仿宋" w:eastAsia="仿宋" w:cs="仿宋"/>
          <w:sz w:val="28"/>
          <w:szCs w:val="28"/>
          <w:lang w:val="en-US" w:eastAsia="zh-CN"/>
        </w:rPr>
        <w:t>进修及培训</w:t>
      </w:r>
      <w:r>
        <w:rPr>
          <w:rFonts w:hint="eastAsia" w:ascii="仿宋" w:hAnsi="仿宋" w:eastAsia="仿宋" w:cs="仿宋"/>
          <w:sz w:val="28"/>
          <w:szCs w:val="28"/>
        </w:rPr>
        <w:t>”（款）202</w:t>
      </w:r>
      <w:r>
        <w:rPr>
          <w:rFonts w:hint="eastAsia" w:ascii="仿宋" w:hAnsi="仿宋" w:eastAsia="仿宋" w:cs="仿宋"/>
          <w:sz w:val="28"/>
          <w:szCs w:val="28"/>
          <w:lang w:val="en-US" w:eastAsia="zh-CN"/>
        </w:rPr>
        <w:t>4</w:t>
      </w:r>
      <w:r>
        <w:rPr>
          <w:rFonts w:hint="eastAsia" w:ascii="仿宋" w:hAnsi="仿宋" w:eastAsia="仿宋" w:cs="仿宋"/>
          <w:sz w:val="28"/>
          <w:szCs w:val="28"/>
        </w:rPr>
        <w:t>年度决算</w:t>
      </w:r>
      <w:r>
        <w:rPr>
          <w:rFonts w:hint="eastAsia" w:ascii="仿宋" w:hAnsi="仿宋" w:eastAsia="仿宋" w:cs="仿宋"/>
          <w:sz w:val="28"/>
          <w:szCs w:val="28"/>
          <w:lang w:val="en-US" w:eastAsia="zh-CN"/>
        </w:rPr>
        <w:t>1.99</w:t>
      </w:r>
      <w:r>
        <w:rPr>
          <w:rFonts w:hint="eastAsia" w:ascii="仿宋" w:hAnsi="仿宋" w:eastAsia="仿宋" w:cs="仿宋"/>
          <w:sz w:val="28"/>
          <w:szCs w:val="28"/>
        </w:rPr>
        <w:t>万元，比202</w:t>
      </w:r>
      <w:r>
        <w:rPr>
          <w:rFonts w:hint="eastAsia" w:ascii="仿宋" w:hAnsi="仿宋" w:eastAsia="仿宋" w:cs="仿宋"/>
          <w:sz w:val="28"/>
          <w:szCs w:val="28"/>
          <w:lang w:val="en-US" w:eastAsia="zh-CN"/>
        </w:rPr>
        <w:t>4</w:t>
      </w:r>
      <w:r>
        <w:rPr>
          <w:rFonts w:hint="eastAsia" w:ascii="仿宋" w:hAnsi="仿宋" w:eastAsia="仿宋" w:cs="仿宋"/>
          <w:sz w:val="28"/>
          <w:szCs w:val="28"/>
        </w:rPr>
        <w:t>年度年初预算减少</w:t>
      </w:r>
      <w:r>
        <w:rPr>
          <w:rFonts w:hint="eastAsia" w:ascii="仿宋" w:hAnsi="仿宋" w:eastAsia="仿宋" w:cs="仿宋"/>
          <w:sz w:val="28"/>
          <w:szCs w:val="28"/>
          <w:lang w:val="en-US" w:eastAsia="zh-CN"/>
        </w:rPr>
        <w:t>10.41</w:t>
      </w:r>
      <w:r>
        <w:rPr>
          <w:rFonts w:hint="eastAsia" w:ascii="仿宋" w:hAnsi="仿宋" w:eastAsia="仿宋" w:cs="仿宋"/>
          <w:sz w:val="28"/>
          <w:szCs w:val="28"/>
        </w:rPr>
        <w:t>万元，下降</w:t>
      </w:r>
      <w:r>
        <w:rPr>
          <w:rFonts w:hint="eastAsia" w:ascii="仿宋" w:hAnsi="仿宋" w:eastAsia="仿宋" w:cs="仿宋"/>
          <w:sz w:val="28"/>
          <w:szCs w:val="28"/>
          <w:lang w:val="en-US" w:eastAsia="zh-CN"/>
        </w:rPr>
        <w:t>83.95</w:t>
      </w:r>
      <w:r>
        <w:rPr>
          <w:rFonts w:hint="eastAsia" w:ascii="仿宋" w:hAnsi="仿宋" w:eastAsia="仿宋" w:cs="仿宋"/>
          <w:sz w:val="28"/>
          <w:szCs w:val="28"/>
        </w:rPr>
        <w:t>%。</w:t>
      </w:r>
      <w:r>
        <w:rPr>
          <w:rFonts w:hint="eastAsia" w:ascii="仿宋" w:hAnsi="仿宋" w:eastAsia="仿宋" w:cs="仿宋"/>
          <w:sz w:val="28"/>
          <w:szCs w:val="28"/>
          <w:highlight w:val="none"/>
        </w:rPr>
        <w:t>主要原因：</w:t>
      </w:r>
      <w:r>
        <w:rPr>
          <w:rFonts w:hint="eastAsia" w:ascii="仿宋" w:hAnsi="仿宋" w:eastAsia="仿宋" w:cs="仿宋"/>
          <w:sz w:val="28"/>
          <w:szCs w:val="28"/>
          <w:highlight w:val="none"/>
          <w:lang w:val="en-US" w:eastAsia="zh-CN"/>
        </w:rPr>
        <w:t>落实政府过紧日子要求，对培训规模及次数进行压缩</w:t>
      </w:r>
      <w:r>
        <w:rPr>
          <w:rFonts w:hint="eastAsia" w:ascii="仿宋" w:hAnsi="仿宋" w:eastAsia="仿宋" w:cs="仿宋"/>
          <w:sz w:val="28"/>
          <w:szCs w:val="28"/>
          <w:highlight w:val="none"/>
        </w:rPr>
        <w:t>。</w:t>
      </w:r>
    </w:p>
    <w:p w14:paraId="3AADD1E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E6B3056">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78D992E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4A98539">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734CA3D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FD8D71C">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3970.82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ED26AEB">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393153B">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9D833D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597513C">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50.26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56.96</w:t>
      </w:r>
      <w:r>
        <w:rPr>
          <w:rFonts w:hint="eastAsia" w:ascii="仿宋_GB2312" w:eastAsia="仿宋_GB2312"/>
          <w:sz w:val="28"/>
          <w:szCs w:val="28"/>
        </w:rPr>
        <w:t>万元减少</w:t>
      </w:r>
      <w:r>
        <w:rPr>
          <w:rFonts w:ascii="仿宋_GB2312" w:eastAsia="仿宋_GB2312"/>
          <w:sz w:val="28"/>
          <w:szCs w:val="28"/>
        </w:rPr>
        <w:t>6.7</w:t>
      </w:r>
      <w:r>
        <w:rPr>
          <w:rFonts w:hint="eastAsia" w:ascii="仿宋_GB2312" w:eastAsia="仿宋_GB2312"/>
          <w:sz w:val="28"/>
          <w:szCs w:val="28"/>
        </w:rPr>
        <w:t>万元。其中：</w:t>
      </w:r>
    </w:p>
    <w:p w14:paraId="45C3205B">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1.因公出国（境）费用。</w:t>
      </w:r>
      <w:r>
        <w:rPr>
          <w:rFonts w:hint="eastAsia" w:ascii="仿宋_GB2312" w:eastAsia="仿宋_GB2312"/>
          <w:sz w:val="28"/>
          <w:szCs w:val="28"/>
          <w:lang w:val="en-US" w:eastAsia="zh-CN"/>
        </w:rPr>
        <w:t>因公出国</w:t>
      </w:r>
      <w:r>
        <w:rPr>
          <w:rFonts w:hint="eastAsia" w:ascii="仿宋_GB2312" w:eastAsia="仿宋_GB2312"/>
          <w:sz w:val="28"/>
          <w:szCs w:val="28"/>
        </w:rPr>
        <w:t>（境</w:t>
      </w:r>
      <w:r>
        <w:rPr>
          <w:rFonts w:hint="eastAsia" w:ascii="仿宋_GB2312" w:eastAsia="仿宋_GB2312"/>
          <w:sz w:val="28"/>
          <w:szCs w:val="28"/>
          <w:lang w:eastAsia="zh-CN"/>
        </w:rPr>
        <w:t>）</w:t>
      </w:r>
      <w:r>
        <w:rPr>
          <w:rFonts w:hint="eastAsia" w:ascii="仿宋_GB2312" w:eastAsia="仿宋_GB2312"/>
          <w:sz w:val="28"/>
          <w:szCs w:val="28"/>
          <w:lang w:val="en-US" w:eastAsia="zh-CN"/>
        </w:rPr>
        <w:t>费用在本级事业中体现。</w:t>
      </w:r>
    </w:p>
    <w:p w14:paraId="4514EC57">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1.87</w:t>
      </w:r>
      <w:r>
        <w:rPr>
          <w:rFonts w:hint="eastAsia" w:ascii="仿宋_GB2312" w:eastAsia="仿宋_GB2312"/>
          <w:sz w:val="28"/>
          <w:szCs w:val="28"/>
        </w:rPr>
        <w:t>万元增加减少</w:t>
      </w:r>
      <w:r>
        <w:rPr>
          <w:rFonts w:ascii="仿宋_GB2312" w:eastAsia="仿宋_GB2312"/>
          <w:sz w:val="28"/>
          <w:szCs w:val="28"/>
        </w:rPr>
        <w:t>1.62</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落实政府过紧日子要求，严格控制公务接待数量、规模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eastAsia="仿宋_GB2312"/>
          <w:sz w:val="28"/>
          <w:szCs w:val="28"/>
          <w:lang w:val="en-US" w:eastAsia="zh-CN"/>
        </w:rPr>
        <w:t>中轴线申遗工作</w:t>
      </w:r>
      <w:r>
        <w:rPr>
          <w:rFonts w:hint="eastAsia" w:ascii="仿宋_GB2312" w:eastAsia="仿宋_GB2312"/>
          <w:sz w:val="28"/>
          <w:szCs w:val="28"/>
        </w:rPr>
        <w:t>。公务接待</w:t>
      </w:r>
      <w:r>
        <w:rPr>
          <w:rFonts w:hint="eastAsia" w:ascii="仿宋_GB2312" w:eastAsia="仿宋_GB2312"/>
          <w:sz w:val="28"/>
          <w:szCs w:val="28"/>
          <w:lang w:eastAsia="zh-CN"/>
        </w:rPr>
        <w:t>3</w:t>
      </w:r>
      <w:r>
        <w:rPr>
          <w:rFonts w:hint="eastAsia" w:ascii="仿宋_GB2312" w:eastAsia="仿宋_GB2312"/>
          <w:sz w:val="28"/>
          <w:szCs w:val="28"/>
        </w:rPr>
        <w:t>批次，公务接待</w:t>
      </w:r>
      <w:r>
        <w:rPr>
          <w:rFonts w:hint="eastAsia" w:ascii="仿宋_GB2312" w:eastAsia="仿宋_GB2312"/>
          <w:sz w:val="28"/>
          <w:szCs w:val="28"/>
          <w:lang w:eastAsia="zh-CN"/>
        </w:rPr>
        <w:t>22</w:t>
      </w:r>
      <w:r>
        <w:rPr>
          <w:rFonts w:hint="eastAsia" w:ascii="仿宋_GB2312" w:eastAsia="仿宋_GB2312"/>
          <w:sz w:val="28"/>
          <w:szCs w:val="28"/>
        </w:rPr>
        <w:t>人次。</w:t>
      </w:r>
    </w:p>
    <w:p w14:paraId="08C02D9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50.02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55.09</w:t>
      </w:r>
      <w:r>
        <w:rPr>
          <w:rFonts w:hint="eastAsia" w:ascii="仿宋_GB2312" w:eastAsia="仿宋_GB2312"/>
          <w:sz w:val="28"/>
          <w:szCs w:val="28"/>
        </w:rPr>
        <w:t>万元减少</w:t>
      </w:r>
      <w:r>
        <w:rPr>
          <w:rFonts w:ascii="仿宋_GB2312" w:eastAsia="仿宋_GB2312"/>
          <w:sz w:val="28"/>
          <w:szCs w:val="28"/>
        </w:rPr>
        <w:t>5.07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33.27</w:t>
      </w:r>
      <w:r>
        <w:rPr>
          <w:rFonts w:hint="eastAsia" w:ascii="仿宋_GB2312" w:eastAsia="仿宋_GB2312"/>
          <w:sz w:val="28"/>
          <w:szCs w:val="28"/>
        </w:rPr>
        <w:t>万元，主要原因：车辆单价下降，购车经费减少，202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2</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16.75</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落实政府过紧日子要求，压缩一般性支出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14</w:t>
      </w:r>
      <w:r>
        <w:rPr>
          <w:rFonts w:hint="eastAsia" w:ascii="仿宋_GB2312" w:eastAsia="仿宋_GB2312"/>
          <w:sz w:val="28"/>
          <w:szCs w:val="28"/>
        </w:rPr>
        <w:t>辆。</w:t>
      </w:r>
    </w:p>
    <w:p w14:paraId="34A7FB1B">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7D2DE8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362.83</w:t>
      </w:r>
      <w:r>
        <w:rPr>
          <w:rFonts w:hint="eastAsia" w:ascii="仿宋_GB2312" w:eastAsia="仿宋_GB2312"/>
          <w:sz w:val="28"/>
          <w:szCs w:val="28"/>
        </w:rPr>
        <w:t>万元，比上年增加减少</w:t>
      </w:r>
      <w:r>
        <w:rPr>
          <w:rFonts w:hint="eastAsia" w:ascii="仿宋_GB2312" w:eastAsia="仿宋_GB2312"/>
          <w:sz w:val="28"/>
          <w:szCs w:val="28"/>
          <w:lang w:val="en-US" w:eastAsia="zh-CN"/>
        </w:rPr>
        <w:t>48.6</w:t>
      </w:r>
      <w:r>
        <w:rPr>
          <w:rFonts w:hint="eastAsia" w:ascii="仿宋_GB2312" w:eastAsia="仿宋_GB2312"/>
          <w:sz w:val="28"/>
          <w:szCs w:val="28"/>
        </w:rPr>
        <w:t>万元，减少原因：配合政府部门二批搬迁工作，办公区搬至副中心，部分日常公用经费统一由机关事务管理局支付，减少本部门的支出。</w:t>
      </w:r>
    </w:p>
    <w:p w14:paraId="46CE3D45">
      <w:pPr>
        <w:ind w:left="540"/>
        <w:rPr>
          <w:rFonts w:hint="eastAsia" w:ascii="黑体" w:eastAsia="黑体"/>
          <w:sz w:val="28"/>
          <w:szCs w:val="28"/>
        </w:rPr>
      </w:pPr>
      <w:r>
        <w:rPr>
          <w:rFonts w:hint="eastAsia" w:ascii="黑体" w:eastAsia="黑体"/>
          <w:sz w:val="28"/>
          <w:szCs w:val="28"/>
        </w:rPr>
        <w:t>三、政府采购支出情况</w:t>
      </w:r>
    </w:p>
    <w:p w14:paraId="705557A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52.96</w:t>
      </w:r>
      <w:r>
        <w:rPr>
          <w:rFonts w:hint="eastAsia" w:ascii="仿宋_GB2312" w:eastAsia="仿宋_GB2312"/>
          <w:sz w:val="28"/>
          <w:szCs w:val="28"/>
        </w:rPr>
        <w:t>万元，其中：政府采购货物支出</w:t>
      </w:r>
      <w:r>
        <w:rPr>
          <w:rFonts w:ascii="仿宋_GB2312" w:eastAsia="仿宋_GB2312"/>
          <w:sz w:val="28"/>
          <w:szCs w:val="28"/>
        </w:rPr>
        <w:t>38.24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14.72</w:t>
      </w:r>
      <w:r>
        <w:rPr>
          <w:rFonts w:hint="eastAsia" w:ascii="仿宋_GB2312" w:eastAsia="仿宋_GB2312"/>
          <w:sz w:val="28"/>
          <w:szCs w:val="28"/>
        </w:rPr>
        <w:t>万元。授予中小企业合同金额</w:t>
      </w:r>
      <w:r>
        <w:rPr>
          <w:rFonts w:ascii="仿宋_GB2312" w:eastAsia="仿宋_GB2312"/>
          <w:sz w:val="28"/>
          <w:szCs w:val="28"/>
        </w:rPr>
        <w:t>46.2</w:t>
      </w:r>
      <w:r>
        <w:rPr>
          <w:rFonts w:hint="eastAsia" w:ascii="仿宋_GB2312" w:eastAsia="仿宋_GB2312"/>
          <w:sz w:val="28"/>
          <w:szCs w:val="28"/>
        </w:rPr>
        <w:t>万元，占政府采购支出总额的</w:t>
      </w:r>
      <w:r>
        <w:rPr>
          <w:rFonts w:hint="eastAsia" w:ascii="仿宋_GB2312" w:eastAsia="仿宋_GB2312"/>
          <w:sz w:val="28"/>
          <w:szCs w:val="28"/>
          <w:lang w:eastAsia="zh-CN"/>
        </w:rPr>
        <w:t>87.23</w:t>
      </w:r>
      <w:r>
        <w:rPr>
          <w:rFonts w:hint="eastAsia" w:ascii="仿宋_GB2312" w:eastAsia="仿宋_GB2312"/>
          <w:sz w:val="28"/>
          <w:szCs w:val="28"/>
        </w:rPr>
        <w:t>%，其中：授予小微企业合同金额</w:t>
      </w:r>
      <w:r>
        <w:rPr>
          <w:rFonts w:ascii="仿宋_GB2312" w:eastAsia="仿宋_GB2312"/>
          <w:sz w:val="28"/>
          <w:szCs w:val="28"/>
        </w:rPr>
        <w:t>46.2</w:t>
      </w:r>
      <w:r>
        <w:rPr>
          <w:rFonts w:hint="eastAsia" w:ascii="仿宋_GB2312" w:eastAsia="仿宋_GB2312"/>
          <w:sz w:val="28"/>
          <w:szCs w:val="28"/>
        </w:rPr>
        <w:t>万元，占政府采购支出总额的</w:t>
      </w:r>
      <w:r>
        <w:rPr>
          <w:rFonts w:ascii="仿宋_GB2312" w:eastAsia="仿宋_GB2312"/>
          <w:sz w:val="28"/>
          <w:szCs w:val="28"/>
        </w:rPr>
        <w:t>87.23</w:t>
      </w:r>
      <w:r>
        <w:rPr>
          <w:rFonts w:hint="eastAsia" w:ascii="仿宋_GB2312" w:eastAsia="仿宋_GB2312"/>
          <w:sz w:val="28"/>
          <w:szCs w:val="28"/>
        </w:rPr>
        <w:t>%。</w:t>
      </w:r>
    </w:p>
    <w:p w14:paraId="663F8839">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EA769C9">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12月31日，北京市文物局本级行政</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14:paraId="7895144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FD9018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51BD271">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529039B">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7205A28">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0F64327">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D89317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9F756D">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B31C50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2962B5A">
      <w:pPr>
        <w:ind w:firstLine="420" w:firstLineChars="150"/>
        <w:rPr>
          <w:rFonts w:hint="eastAsia" w:ascii="仿宋_GB2312" w:eastAsia="仿宋_GB2312"/>
          <w:sz w:val="28"/>
          <w:szCs w:val="28"/>
        </w:rPr>
      </w:pPr>
      <w:r>
        <w:rPr>
          <w:rFonts w:hint="eastAsia" w:ascii="仿宋_GB2312" w:eastAsia="仿宋_GB2312"/>
          <w:sz w:val="28"/>
          <w:szCs w:val="28"/>
        </w:rPr>
        <w:t>7.教育支出（类）进修及培训（款）培训支出（项）：反映本单位安排的用于培训的支出。</w:t>
      </w:r>
    </w:p>
    <w:p w14:paraId="44B8B5FD">
      <w:pPr>
        <w:ind w:firstLine="420" w:firstLineChars="150"/>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文化旅游体育与传媒支出（类）文物（款）行政运行（项）：反映行政单位（包括实行公务员管理的事业单位）的基本支出。</w:t>
      </w:r>
    </w:p>
    <w:p w14:paraId="6F82D5B6">
      <w:pPr>
        <w:ind w:firstLine="420" w:firstLineChars="15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文化旅游体育与传媒支出（类）文物（款）其他文物支出（项）：反映除上述项目以外其他用于文物方面的支出。</w:t>
      </w:r>
    </w:p>
    <w:p w14:paraId="007E9837">
      <w:pPr>
        <w:ind w:firstLine="420" w:firstLineChars="15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14:paraId="5456CBE5">
      <w:pPr>
        <w:jc w:val="both"/>
        <w:rPr>
          <w:rFonts w:hint="eastAsia" w:ascii="黑体" w:eastAsia="黑体"/>
          <w:sz w:val="32"/>
          <w:szCs w:val="32"/>
        </w:rPr>
      </w:pPr>
    </w:p>
    <w:p w14:paraId="0F0C551F">
      <w:pPr>
        <w:tabs>
          <w:tab w:val="center" w:pos="6979"/>
        </w:tabs>
        <w:spacing w:line="380" w:lineRule="exact"/>
        <w:jc w:val="center"/>
        <w:rPr>
          <w:rFonts w:ascii="宋体" w:hAnsi="宋体" w:cs="宋体"/>
          <w:b/>
          <w:bCs/>
          <w:kern w:val="0"/>
          <w:sz w:val="28"/>
          <w:szCs w:val="28"/>
        </w:rPr>
      </w:pPr>
    </w:p>
    <w:p w14:paraId="0142EA82">
      <w:pPr>
        <w:tabs>
          <w:tab w:val="center" w:pos="6979"/>
        </w:tabs>
        <w:spacing w:line="380" w:lineRule="exact"/>
        <w:jc w:val="center"/>
        <w:rPr>
          <w:rFonts w:ascii="宋体" w:hAnsi="宋体" w:cs="宋体"/>
          <w:b/>
          <w:bCs/>
          <w:kern w:val="0"/>
          <w:sz w:val="28"/>
          <w:szCs w:val="28"/>
        </w:rPr>
      </w:pPr>
    </w:p>
    <w:p w14:paraId="18E6D793">
      <w:pPr>
        <w:jc w:val="both"/>
        <w:rPr>
          <w:rFonts w:hint="eastAsia" w:ascii="黑体" w:eastAsia="黑体"/>
          <w:sz w:val="32"/>
          <w:szCs w:val="32"/>
        </w:rPr>
      </w:pPr>
    </w:p>
    <w:p w14:paraId="1AF2AE0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D4CA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2ADECA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9124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35A743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5A27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E213DA7">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0822B8"/>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3FA415A8"/>
    <w:rsid w:val="433E495C"/>
    <w:rsid w:val="489F2FD7"/>
    <w:rsid w:val="4AC27CB3"/>
    <w:rsid w:val="4BF72BEF"/>
    <w:rsid w:val="4FA90297"/>
    <w:rsid w:val="4FC41A43"/>
    <w:rsid w:val="51DB3C59"/>
    <w:rsid w:val="541653BB"/>
    <w:rsid w:val="550C0952"/>
    <w:rsid w:val="55762E42"/>
    <w:rsid w:val="57A7B272"/>
    <w:rsid w:val="58470068"/>
    <w:rsid w:val="58747CAC"/>
    <w:rsid w:val="5A1720F9"/>
    <w:rsid w:val="5B9C37C2"/>
    <w:rsid w:val="5BA7C654"/>
    <w:rsid w:val="60A54109"/>
    <w:rsid w:val="61D01CDF"/>
    <w:rsid w:val="62806C93"/>
    <w:rsid w:val="64C0607C"/>
    <w:rsid w:val="65756C86"/>
    <w:rsid w:val="674D385B"/>
    <w:rsid w:val="676F09E1"/>
    <w:rsid w:val="694B140F"/>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61"/>
    <w:basedOn w:val="11"/>
    <w:qFormat/>
    <w:uiPriority w:val="0"/>
    <w:rPr>
      <w:rFonts w:hint="eastAsia" w:ascii="宋体" w:hAnsi="宋体" w:eastAsia="宋体" w:cs="宋体"/>
      <w:color w:val="000000"/>
      <w:sz w:val="20"/>
      <w:szCs w:val="20"/>
      <w:u w:val="none"/>
    </w:rPr>
  </w:style>
  <w:style w:type="character" w:customStyle="1" w:styleId="21">
    <w:name w:val="font71"/>
    <w:basedOn w:val="11"/>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4324.18</c:v>
                </c:pt>
                <c:pt idx="1">
                  <c:v>0</c:v>
                </c:pt>
                <c:pt idx="2">
                  <c:v>0</c:v>
                </c:pt>
                <c:pt idx="3">
                  <c:v>0</c:v>
                </c:pt>
                <c:pt idx="4">
                  <c:v>0</c:v>
                </c:pt>
                <c:pt idx="5">
                  <c:v>0.39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46fb846-2912-454f-95ec-b25e634a09bb}"/>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3970.91</c:v>
                </c:pt>
                <c:pt idx="1">
                  <c:v>33.27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bbf146d-28ac-4f07-b015-a0da8465094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3931</Words>
  <Characters>4402</Characters>
  <Lines>44</Lines>
  <Paragraphs>12</Paragraphs>
  <TotalTime>14</TotalTime>
  <ScaleCrop>false</ScaleCrop>
  <LinksUpToDate>false</LinksUpToDate>
  <CharactersWithSpaces>4420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FFFF</cp:lastModifiedBy>
  <cp:lastPrinted>2020-08-07T11:39:00Z</cp:lastPrinted>
  <dcterms:modified xsi:type="dcterms:W3CDTF">2025-09-09T08:15:58Z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716637E3824B45B5A94F6A040C4833C7_13</vt:lpwstr>
  </property>
  <property fmtid="{D5CDD505-2E9C-101B-9397-08002B2CF9AE}" pid="4" name="KSOTemplateDocerSaveRecord">
    <vt:lpwstr>eyJoZGlkIjoiZDY4NjliZjViZDMyNTc4YmRiODVmMzhiMDRkOGJmNGIiLCJ1c2VySWQiOiIyMDk5NDk3MzkifQ==</vt:lpwstr>
  </property>
</Properties>
</file>