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北京市文物局</w:t>
      </w: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560" w:firstLineChars="200"/>
        <w:rPr>
          <w:rFonts w:hint="default" w:ascii="仿宋_GB2312" w:eastAsia="仿宋_GB2312"/>
          <w:kern w:val="0"/>
          <w:sz w:val="28"/>
          <w:szCs w:val="28"/>
          <w:lang w:val="en-US" w:eastAsia="zh-CN"/>
        </w:rPr>
      </w:pPr>
      <w:r>
        <w:rPr>
          <w:rFonts w:hint="eastAsia" w:ascii="仿宋_GB2312" w:eastAsia="仿宋_GB2312"/>
          <w:kern w:val="0"/>
          <w:sz w:val="28"/>
          <w:szCs w:val="28"/>
          <w:lang w:val="en-US" w:eastAsia="zh-CN"/>
        </w:rPr>
        <w:t>（一）部门职责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北京市文物局是负责本市文物和博物馆事业管理工作的市政府直属机构。上级业务主管部门为国家文物局。主要职责如下：</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1.</w:t>
      </w:r>
      <w:r>
        <w:rPr>
          <w:rFonts w:hint="eastAsia" w:ascii="仿宋_GB2312" w:eastAsia="仿宋_GB2312"/>
          <w:kern w:val="0"/>
          <w:sz w:val="28"/>
          <w:szCs w:val="28"/>
        </w:rPr>
        <w:t>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2.</w:t>
      </w:r>
      <w:r>
        <w:rPr>
          <w:rFonts w:hint="eastAsia" w:ascii="仿宋_GB2312" w:eastAsia="仿宋_GB2312"/>
          <w:kern w:val="0"/>
          <w:sz w:val="28"/>
          <w:szCs w:val="28"/>
        </w:rPr>
        <w:t>负责本市世界文化遗产和文物保护单位管理工作，会同有关部门负责历史文化名城（镇、村）保护和监督管理工作，研究提出文物保护单位保护范围和建设控制地带的意见。</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3.</w:t>
      </w:r>
      <w:r>
        <w:rPr>
          <w:rFonts w:hint="eastAsia" w:ascii="仿宋_GB2312" w:eastAsia="仿宋_GB2312"/>
          <w:kern w:val="0"/>
          <w:sz w:val="28"/>
          <w:szCs w:val="28"/>
        </w:rPr>
        <w:t>指导本市博物馆的业务工作，组织博物馆间的交流与协作，负责博物馆馆藏文物鉴定、登记、借用、调拨和交换的管理工作。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4.</w:t>
      </w:r>
      <w:r>
        <w:rPr>
          <w:rFonts w:hint="eastAsia" w:ascii="仿宋_GB2312" w:eastAsia="仿宋_GB2312"/>
          <w:kern w:val="0"/>
          <w:sz w:val="28"/>
          <w:szCs w:val="28"/>
        </w:rPr>
        <w:t>负责本市的考古调查、勘探和发掘工作；会同有关部门研究提出保护地下文物埋藏区的意见；负责出土文物的调用。</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5.</w:t>
      </w:r>
      <w:r>
        <w:rPr>
          <w:rFonts w:hint="eastAsia" w:ascii="仿宋_GB2312" w:eastAsia="仿宋_GB2312"/>
          <w:kern w:val="0"/>
          <w:sz w:val="28"/>
          <w:szCs w:val="28"/>
        </w:rPr>
        <w:t>负责管理本市民间收藏文物及其流通活动；培育、引导和扶持文物和博物馆领域相关产业健康发展。</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6.</w:t>
      </w:r>
      <w:r>
        <w:rPr>
          <w:rFonts w:hint="eastAsia" w:ascii="仿宋_GB2312" w:eastAsia="仿宋_GB2312"/>
          <w:kern w:val="0"/>
          <w:sz w:val="28"/>
          <w:szCs w:val="28"/>
        </w:rPr>
        <w:t>负责本市文物和博物馆有关审核、审批事务及相关资质资格认定的管理工作。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7.</w:t>
      </w:r>
      <w:r>
        <w:rPr>
          <w:rFonts w:hint="eastAsia" w:ascii="仿宋_GB2312" w:eastAsia="仿宋_GB2312"/>
          <w:kern w:val="0"/>
          <w:sz w:val="28"/>
          <w:szCs w:val="28"/>
        </w:rPr>
        <w:t>依法负责本市文物行政执法工作，组织查处有关文物的违法违章案件；承担文物和博物馆安全工作的管理责任。</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8.</w:t>
      </w:r>
      <w:r>
        <w:rPr>
          <w:rFonts w:hint="eastAsia" w:ascii="仿宋_GB2312" w:eastAsia="仿宋_GB2312"/>
          <w:kern w:val="0"/>
          <w:sz w:val="28"/>
          <w:szCs w:val="28"/>
        </w:rPr>
        <w:t>负责本市文物保护的宣传工作；组织与国（境）内外的文物交流和展示活动。</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9.</w:t>
      </w:r>
      <w:r>
        <w:rPr>
          <w:rFonts w:hint="eastAsia" w:ascii="仿宋_GB2312" w:eastAsia="仿宋_GB2312"/>
          <w:kern w:val="0"/>
          <w:sz w:val="28"/>
          <w:szCs w:val="28"/>
        </w:rPr>
        <w:t>规划、指导本市文物和博物馆领域专业人员培训工作；组织文物和博物馆领域科学研究及交流、文物科学保护工作。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10.</w:t>
      </w:r>
      <w:r>
        <w:rPr>
          <w:rFonts w:hint="eastAsia" w:ascii="仿宋_GB2312" w:eastAsia="仿宋_GB2312"/>
          <w:kern w:val="0"/>
          <w:sz w:val="28"/>
          <w:szCs w:val="28"/>
        </w:rPr>
        <w:t>承办市政府交办的其他事项。</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（二）</w:t>
      </w:r>
      <w:r>
        <w:rPr>
          <w:rFonts w:hint="eastAsia" w:ascii="仿宋_GB2312" w:eastAsia="仿宋_GB2312"/>
          <w:kern w:val="0"/>
          <w:sz w:val="28"/>
          <w:szCs w:val="28"/>
        </w:rPr>
        <w:t>机构设置</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文物局包括17个预算单位，即北京市文物局本级（含本级行政及本级事业）、首都博物馆（含老舍纪念馆、北京市白塔寺管理处、北京文博交流馆三个分支机构）、北京石刻艺术博物馆、徐悲鸿纪念馆、大钟寺古钟博物馆、北京艺术博物馆、北京古代建筑博物馆、北京市文物工程质量监督站、孔庙和国子监博物馆、北京市文物进出境鉴定所、北京市文博发展中心、北京市文物局综合事务中心、北京考古遗址博物馆、北京中轴线遗产保护中心（北京世界文化遗产监测中心）、北京大觉寺与团城管理处、北京市考古研究院（北京市文化遗产研究院）、北京中轴线申遗保护工作办公室（临时工作机构）等。</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237854.42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14363.63</w:t>
      </w:r>
      <w:r>
        <w:rPr>
          <w:rFonts w:hint="eastAsia" w:ascii="仿宋_GB2312" w:eastAsia="仿宋_GB2312"/>
          <w:sz w:val="28"/>
          <w:szCs w:val="28"/>
        </w:rPr>
        <w:t>万元，下降</w:t>
      </w:r>
      <w:r>
        <w:rPr>
          <w:rFonts w:hint="eastAsia" w:ascii="仿宋_GB2312" w:eastAsia="仿宋_GB2312"/>
          <w:sz w:val="28"/>
          <w:szCs w:val="28"/>
          <w:lang w:val="en-US" w:eastAsia="zh-CN"/>
        </w:rPr>
        <w:t>5.69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149883.4</w:t>
      </w:r>
      <w:r>
        <w:rPr>
          <w:rFonts w:hint="eastAsia" w:ascii="仿宋_GB2312" w:eastAsia="仿宋_GB2312"/>
          <w:sz w:val="28"/>
          <w:szCs w:val="28"/>
          <w:lang w:val="en-US" w:eastAsia="zh-CN"/>
        </w:rPr>
        <w:t>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5859.79</w:t>
      </w:r>
      <w:r>
        <w:rPr>
          <w:rFonts w:hint="eastAsia" w:ascii="仿宋_GB2312" w:eastAsia="仿宋_GB2312"/>
          <w:sz w:val="28"/>
          <w:szCs w:val="28"/>
        </w:rPr>
        <w:t>万元，增长</w:t>
      </w:r>
      <w:r>
        <w:rPr>
          <w:rFonts w:hint="eastAsia" w:ascii="仿宋_GB2312" w:eastAsia="仿宋_GB2312"/>
          <w:sz w:val="28"/>
          <w:szCs w:val="28"/>
          <w:lang w:val="en-US" w:eastAsia="zh-CN"/>
        </w:rPr>
        <w:t>4.07</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121492.07</w:t>
      </w:r>
      <w:r>
        <w:rPr>
          <w:rFonts w:hint="eastAsia" w:ascii="仿宋_GB2312" w:eastAsia="仿宋_GB2312"/>
          <w:sz w:val="28"/>
          <w:szCs w:val="28"/>
        </w:rPr>
        <w:t>万元，占收入合计的</w:t>
      </w:r>
      <w:r>
        <w:rPr>
          <w:rFonts w:hint="eastAsia" w:ascii="仿宋_GB2312" w:eastAsia="仿宋_GB2312"/>
          <w:sz w:val="28"/>
          <w:szCs w:val="28"/>
          <w:lang w:eastAsia="zh-CN"/>
        </w:rPr>
        <w:t>81.06%</w:t>
      </w:r>
      <w:r>
        <w:rPr>
          <w:rFonts w:hint="eastAsia" w:ascii="仿宋_GB2312" w:eastAsia="仿宋_GB2312"/>
          <w:sz w:val="28"/>
          <w:szCs w:val="28"/>
        </w:rPr>
        <w:t>。其中：一般公共预算财政拨款收入</w:t>
      </w:r>
      <w:r>
        <w:rPr>
          <w:rFonts w:ascii="仿宋_GB2312" w:eastAsia="仿宋_GB2312"/>
          <w:sz w:val="28"/>
          <w:szCs w:val="28"/>
        </w:rPr>
        <w:t>121492.07</w:t>
      </w:r>
      <w:r>
        <w:rPr>
          <w:rFonts w:hint="eastAsia" w:ascii="仿宋_GB2312" w:eastAsia="仿宋_GB2312"/>
          <w:sz w:val="28"/>
          <w:szCs w:val="28"/>
        </w:rPr>
        <w:t>万元，占收入合计的</w:t>
      </w:r>
      <w:r>
        <w:rPr>
          <w:rFonts w:hint="eastAsia" w:ascii="仿宋_GB2312" w:eastAsia="仿宋_GB2312"/>
          <w:sz w:val="28"/>
          <w:szCs w:val="28"/>
          <w:lang w:eastAsia="zh-CN"/>
        </w:rPr>
        <w:t>81.06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27266.74</w:t>
      </w:r>
      <w:r>
        <w:rPr>
          <w:rFonts w:hint="eastAsia" w:ascii="仿宋_GB2312" w:eastAsia="仿宋_GB2312"/>
          <w:sz w:val="28"/>
          <w:szCs w:val="28"/>
        </w:rPr>
        <w:t>万元，占收入合计的</w:t>
      </w:r>
      <w:r>
        <w:rPr>
          <w:rFonts w:hint="eastAsia" w:ascii="仿宋_GB2312" w:eastAsia="仿宋_GB2312"/>
          <w:sz w:val="28"/>
          <w:szCs w:val="28"/>
          <w:lang w:eastAsia="zh-CN"/>
        </w:rPr>
        <w:t>18.19</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1124.62</w:t>
      </w:r>
      <w:r>
        <w:rPr>
          <w:rFonts w:hint="eastAsia" w:ascii="仿宋_GB2312" w:eastAsia="仿宋_GB2312"/>
          <w:sz w:val="28"/>
          <w:szCs w:val="28"/>
        </w:rPr>
        <w:t>万元，占收入合计的</w:t>
      </w:r>
      <w:r>
        <w:rPr>
          <w:rFonts w:hint="eastAsia" w:ascii="仿宋_GB2312" w:eastAsia="仿宋_GB2312"/>
          <w:sz w:val="28"/>
          <w:szCs w:val="28"/>
          <w:lang w:eastAsia="zh-CN"/>
        </w:rPr>
        <w:t>0.75</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147124.82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11868.93</w:t>
      </w:r>
      <w:r>
        <w:rPr>
          <w:rFonts w:hint="eastAsia" w:ascii="仿宋_GB2312" w:eastAsia="仿宋_GB2312"/>
          <w:sz w:val="28"/>
          <w:szCs w:val="28"/>
        </w:rPr>
        <w:t>万元，下降</w:t>
      </w:r>
      <w:r>
        <w:rPr>
          <w:rFonts w:hint="eastAsia" w:ascii="仿宋_GB2312" w:eastAsia="仿宋_GB2312"/>
          <w:sz w:val="28"/>
          <w:szCs w:val="28"/>
          <w:lang w:val="en-US" w:eastAsia="zh-CN"/>
        </w:rPr>
        <w:t>7.47</w:t>
      </w:r>
      <w:r>
        <w:rPr>
          <w:rFonts w:hint="eastAsia" w:ascii="仿宋_GB2312" w:eastAsia="仿宋_GB2312"/>
          <w:sz w:val="28"/>
          <w:szCs w:val="28"/>
        </w:rPr>
        <w:t>%，其中：基本支出</w:t>
      </w:r>
      <w:r>
        <w:rPr>
          <w:rFonts w:ascii="仿宋_GB2312" w:eastAsia="仿宋_GB2312"/>
          <w:sz w:val="28"/>
          <w:szCs w:val="28"/>
        </w:rPr>
        <w:t>48954.3</w:t>
      </w:r>
      <w:r>
        <w:rPr>
          <w:rFonts w:hint="eastAsia" w:ascii="仿宋_GB2312" w:eastAsia="仿宋_GB2312"/>
          <w:sz w:val="28"/>
          <w:szCs w:val="28"/>
          <w:lang w:val="en-US" w:eastAsia="zh-CN"/>
        </w:rPr>
        <w:t>8</w:t>
      </w:r>
      <w:r>
        <w:rPr>
          <w:rFonts w:hint="eastAsia" w:ascii="仿宋_GB2312" w:eastAsia="仿宋_GB2312"/>
          <w:sz w:val="28"/>
          <w:szCs w:val="28"/>
        </w:rPr>
        <w:t>万元，占支出合计的</w:t>
      </w:r>
      <w:r>
        <w:rPr>
          <w:rFonts w:hint="eastAsia" w:ascii="仿宋_GB2312" w:eastAsia="仿宋_GB2312"/>
          <w:sz w:val="28"/>
          <w:szCs w:val="28"/>
          <w:lang w:eastAsia="zh-CN"/>
        </w:rPr>
        <w:t>33.27</w:t>
      </w:r>
      <w:r>
        <w:rPr>
          <w:rFonts w:hint="eastAsia" w:ascii="仿宋_GB2312" w:eastAsia="仿宋_GB2312"/>
          <w:sz w:val="28"/>
          <w:szCs w:val="28"/>
        </w:rPr>
        <w:t>%；项目支出</w:t>
      </w:r>
      <w:r>
        <w:rPr>
          <w:rFonts w:ascii="仿宋_GB2312" w:eastAsia="仿宋_GB2312"/>
          <w:sz w:val="28"/>
          <w:szCs w:val="28"/>
        </w:rPr>
        <w:t>98170.44</w:t>
      </w:r>
      <w:r>
        <w:rPr>
          <w:rFonts w:hint="eastAsia" w:ascii="仿宋_GB2312" w:eastAsia="仿宋_GB2312"/>
          <w:sz w:val="28"/>
          <w:szCs w:val="28"/>
        </w:rPr>
        <w:t>万元，占支出合计的</w:t>
      </w:r>
      <w:r>
        <w:rPr>
          <w:rFonts w:hint="eastAsia" w:ascii="仿宋_GB2312" w:eastAsia="仿宋_GB2312"/>
          <w:sz w:val="28"/>
          <w:szCs w:val="28"/>
          <w:lang w:eastAsia="zh-CN"/>
        </w:rPr>
        <w:t>66.73</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141119.61</w:t>
      </w:r>
      <w:r>
        <w:rPr>
          <w:rFonts w:hint="eastAsia" w:ascii="仿宋_GB2312" w:eastAsia="仿宋_GB2312"/>
          <w:sz w:val="28"/>
          <w:szCs w:val="28"/>
        </w:rPr>
        <w:t>万元，比上年减少</w:t>
      </w:r>
      <w:r>
        <w:rPr>
          <w:rFonts w:hint="eastAsia" w:ascii="仿宋_GB2312" w:eastAsia="仿宋_GB2312"/>
          <w:sz w:val="28"/>
          <w:szCs w:val="28"/>
          <w:lang w:val="en-US" w:eastAsia="zh-CN"/>
        </w:rPr>
        <w:t>4671.23</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下降</w:t>
      </w:r>
      <w:r>
        <w:rPr>
          <w:rFonts w:hint="eastAsia" w:ascii="仿宋_GB2312" w:eastAsia="仿宋_GB2312"/>
          <w:sz w:val="28"/>
          <w:szCs w:val="28"/>
          <w:lang w:val="en-US" w:eastAsia="zh-CN"/>
        </w:rPr>
        <w:t>3.20%</w:t>
      </w:r>
      <w:r>
        <w:rPr>
          <w:rFonts w:hint="eastAsia" w:ascii="仿宋_GB2312" w:eastAsia="仿宋_GB2312"/>
          <w:sz w:val="28"/>
          <w:szCs w:val="28"/>
        </w:rPr>
        <w:t>。</w:t>
      </w:r>
      <w:r>
        <w:rPr>
          <w:rFonts w:hint="eastAsia" w:ascii="仿宋_GB2312" w:eastAsia="仿宋_GB2312"/>
          <w:color w:val="auto"/>
          <w:sz w:val="28"/>
          <w:szCs w:val="28"/>
        </w:rPr>
        <w:t>主要原因：落实政府过</w:t>
      </w:r>
      <w:r>
        <w:rPr>
          <w:rFonts w:hint="eastAsia" w:ascii="仿宋_GB2312" w:eastAsia="仿宋_GB2312"/>
          <w:color w:val="auto"/>
          <w:sz w:val="28"/>
          <w:szCs w:val="28"/>
          <w:lang w:eastAsia="zh-CN"/>
        </w:rPr>
        <w:t>“紧日子”思想</w:t>
      </w:r>
      <w:r>
        <w:rPr>
          <w:rFonts w:hint="eastAsia" w:ascii="仿宋_GB2312" w:eastAsia="仿宋_GB2312"/>
          <w:color w:val="auto"/>
          <w:sz w:val="28"/>
          <w:szCs w:val="28"/>
        </w:rPr>
        <w:t>，</w:t>
      </w:r>
      <w:r>
        <w:rPr>
          <w:rFonts w:hint="eastAsia" w:ascii="仿宋_GB2312" w:eastAsia="仿宋_GB2312"/>
          <w:color w:val="auto"/>
          <w:sz w:val="28"/>
          <w:szCs w:val="28"/>
          <w:lang w:eastAsia="zh-CN"/>
        </w:rPr>
        <w:t>结合实际工作，</w:t>
      </w:r>
      <w:r>
        <w:rPr>
          <w:rFonts w:hint="eastAsia" w:ascii="仿宋_GB2312" w:eastAsia="仿宋_GB2312"/>
          <w:color w:val="auto"/>
          <w:sz w:val="28"/>
          <w:szCs w:val="28"/>
        </w:rPr>
        <w:t>厉行节约，严格控制</w:t>
      </w:r>
      <w:r>
        <w:rPr>
          <w:rFonts w:hint="eastAsia" w:ascii="仿宋_GB2312" w:eastAsia="仿宋_GB2312"/>
          <w:color w:val="auto"/>
          <w:sz w:val="28"/>
          <w:szCs w:val="28"/>
          <w:lang w:eastAsia="zh-CN"/>
        </w:rPr>
        <w:t>一般性</w:t>
      </w:r>
      <w:r>
        <w:rPr>
          <w:rFonts w:hint="eastAsia" w:ascii="仿宋_GB2312" w:eastAsia="仿宋_GB2312"/>
          <w:color w:val="auto"/>
          <w:sz w:val="28"/>
          <w:szCs w:val="28"/>
        </w:rPr>
        <w:t>支出。</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116286.13</w:t>
      </w:r>
      <w:r>
        <w:rPr>
          <w:rFonts w:hint="eastAsia" w:ascii="仿宋_GB2312" w:eastAsia="仿宋_GB2312"/>
          <w:sz w:val="28"/>
          <w:szCs w:val="28"/>
        </w:rPr>
        <w:t>万元，主要用于以下方面（按大类）：</w:t>
      </w:r>
      <w:r>
        <w:rPr>
          <w:rFonts w:hint="eastAsia" w:ascii="CESI仿宋-GB2312" w:hAnsi="CESI仿宋-GB2312" w:eastAsia="CESI仿宋-GB2312" w:cs="CESI仿宋-GB2312"/>
          <w:b w:val="0"/>
          <w:bCs/>
          <w:sz w:val="28"/>
          <w:szCs w:val="28"/>
        </w:rPr>
        <w:t>教育支出</w:t>
      </w:r>
      <w:r>
        <w:rPr>
          <w:rFonts w:hint="eastAsia" w:ascii="CESI仿宋-GB2312" w:hAnsi="CESI仿宋-GB2312" w:eastAsia="CESI仿宋-GB2312" w:cs="CESI仿宋-GB2312"/>
          <w:b w:val="0"/>
          <w:bCs/>
          <w:sz w:val="28"/>
          <w:szCs w:val="28"/>
          <w:lang w:val="en-US" w:eastAsia="zh-CN"/>
        </w:rPr>
        <w:t>132.47</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rPr>
        <w:t>0.</w:t>
      </w:r>
      <w:r>
        <w:rPr>
          <w:rFonts w:hint="eastAsia" w:ascii="CESI仿宋-GB2312" w:hAnsi="CESI仿宋-GB2312" w:eastAsia="CESI仿宋-GB2312" w:cs="CESI仿宋-GB2312"/>
          <w:b w:val="0"/>
          <w:bCs/>
          <w:sz w:val="28"/>
          <w:szCs w:val="28"/>
          <w:lang w:val="en-US" w:eastAsia="zh-CN"/>
        </w:rPr>
        <w:t>11</w:t>
      </w:r>
      <w:r>
        <w:rPr>
          <w:rFonts w:hint="eastAsia" w:ascii="CESI仿宋-GB2312" w:hAnsi="CESI仿宋-GB2312" w:eastAsia="CESI仿宋-GB2312" w:cs="CESI仿宋-GB2312"/>
          <w:b w:val="0"/>
          <w:bCs/>
          <w:sz w:val="28"/>
          <w:szCs w:val="28"/>
        </w:rPr>
        <w:t>%；文化旅游体育与传媒支出</w:t>
      </w:r>
      <w:r>
        <w:rPr>
          <w:rFonts w:hint="eastAsia" w:ascii="CESI仿宋-GB2312" w:hAnsi="CESI仿宋-GB2312" w:eastAsia="CESI仿宋-GB2312" w:cs="CESI仿宋-GB2312"/>
          <w:b w:val="0"/>
          <w:bCs/>
          <w:sz w:val="28"/>
          <w:szCs w:val="28"/>
          <w:lang w:val="en-US" w:eastAsia="zh-CN"/>
        </w:rPr>
        <w:t>114288.88</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98.28</w:t>
      </w:r>
      <w:r>
        <w:rPr>
          <w:rFonts w:hint="eastAsia" w:ascii="CESI仿宋-GB2312" w:hAnsi="CESI仿宋-GB2312" w:eastAsia="CESI仿宋-GB2312" w:cs="CESI仿宋-GB2312"/>
          <w:b w:val="0"/>
          <w:bCs/>
          <w:sz w:val="28"/>
          <w:szCs w:val="28"/>
        </w:rPr>
        <w:t>%；社会保障和就业支出</w:t>
      </w:r>
      <w:r>
        <w:rPr>
          <w:rFonts w:hint="eastAsia" w:ascii="CESI仿宋-GB2312" w:hAnsi="CESI仿宋-GB2312" w:eastAsia="CESI仿宋-GB2312" w:cs="CESI仿宋-GB2312"/>
          <w:b w:val="0"/>
          <w:bCs/>
          <w:sz w:val="28"/>
          <w:szCs w:val="28"/>
          <w:lang w:val="en-US" w:eastAsia="zh-CN"/>
        </w:rPr>
        <w:t>882.78</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0.76</w:t>
      </w:r>
      <w:r>
        <w:rPr>
          <w:rFonts w:hint="eastAsia" w:ascii="CESI仿宋-GB2312" w:hAnsi="CESI仿宋-GB2312" w:eastAsia="CESI仿宋-GB2312" w:cs="CESI仿宋-GB2312"/>
          <w:b w:val="0"/>
          <w:bCs/>
          <w:sz w:val="28"/>
          <w:szCs w:val="28"/>
        </w:rPr>
        <w:t>%。</w:t>
      </w:r>
      <w:r>
        <w:rPr>
          <w:rFonts w:hint="eastAsia" w:ascii="CESI仿宋-GB2312" w:hAnsi="CESI仿宋-GB2312" w:eastAsia="CESI仿宋-GB2312" w:cs="CESI仿宋-GB2312"/>
          <w:b w:val="0"/>
          <w:bCs/>
          <w:sz w:val="28"/>
          <w:szCs w:val="28"/>
          <w:lang w:eastAsia="zh-CN"/>
        </w:rPr>
        <w:t>灾害防治及应急管理支出</w:t>
      </w:r>
      <w:r>
        <w:rPr>
          <w:rFonts w:hint="eastAsia" w:ascii="CESI仿宋-GB2312" w:hAnsi="CESI仿宋-GB2312" w:eastAsia="CESI仿宋-GB2312" w:cs="CESI仿宋-GB2312"/>
          <w:b w:val="0"/>
          <w:bCs/>
          <w:sz w:val="28"/>
          <w:szCs w:val="28"/>
          <w:lang w:val="en-US" w:eastAsia="zh-CN"/>
        </w:rPr>
        <w:t>982.00万元，占本年财政拨款支出的0.85%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189.88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132.47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69.77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189.88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132.47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69.77</w:t>
      </w:r>
      <w:r>
        <w:rPr>
          <w:rFonts w:hint="eastAsia" w:ascii="仿宋_GB2312" w:eastAsia="仿宋_GB2312"/>
          <w:sz w:val="28"/>
          <w:szCs w:val="28"/>
        </w:rPr>
        <w:t>%。主要原因：落实政府过紧日子要求，厉行勤俭节约要求，严格控制培训费用支出。</w:t>
      </w:r>
    </w:p>
    <w:p>
      <w:pPr>
        <w:spacing w:line="580" w:lineRule="exact"/>
        <w:ind w:firstLine="560" w:firstLineChars="200"/>
        <w:rPr>
          <w:rFonts w:hint="eastAsia" w:ascii="仿宋_GB2312" w:eastAsia="仿宋_GB2312"/>
          <w:sz w:val="28"/>
          <w:szCs w:val="28"/>
        </w:rPr>
      </w:pPr>
      <w:r>
        <w:rPr>
          <w:rFonts w:hint="eastAsia" w:ascii="仿宋_GB2312" w:eastAsia="仿宋_GB2312"/>
          <w:color w:val="auto"/>
          <w:sz w:val="28"/>
          <w:szCs w:val="28"/>
        </w:rPr>
        <w:t>2．</w:t>
      </w:r>
      <w:r>
        <w:rPr>
          <w:rFonts w:hint="eastAsia" w:ascii="仿宋_GB2312" w:eastAsia="仿宋_GB2312"/>
          <w:sz w:val="28"/>
          <w:szCs w:val="28"/>
        </w:rPr>
        <w:t>“文化旅游体育与传媒支出”</w:t>
      </w:r>
      <w:r>
        <w:rPr>
          <w:rFonts w:hint="eastAsia" w:ascii="仿宋_GB2312" w:eastAsia="仿宋_GB2312"/>
          <w:sz w:val="28"/>
          <w:szCs w:val="28"/>
          <w:lang w:eastAsia="zh-CN"/>
        </w:rPr>
        <w:t>（类）</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110913.09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114288.88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103.04</w:t>
      </w:r>
      <w:r>
        <w:rPr>
          <w:rFonts w:hint="eastAsia" w:ascii="仿宋_GB2312" w:eastAsia="仿宋_GB2312"/>
          <w:sz w:val="28"/>
          <w:szCs w:val="28"/>
        </w:rPr>
        <w:t>%。其中：</w:t>
      </w:r>
    </w:p>
    <w:p>
      <w:pPr>
        <w:spacing w:line="580" w:lineRule="exact"/>
        <w:ind w:firstLine="560" w:firstLineChars="200"/>
        <w:rPr>
          <w:rFonts w:hint="default" w:ascii="仿宋_GB2312" w:eastAsia="仿宋_GB2312"/>
          <w:color w:val="auto"/>
          <w:sz w:val="28"/>
          <w:szCs w:val="28"/>
          <w:lang w:val="en-US"/>
        </w:rPr>
      </w:pPr>
      <w:r>
        <w:rPr>
          <w:rFonts w:hint="eastAsia" w:ascii="仿宋_GB2312" w:eastAsia="仿宋_GB2312"/>
          <w:sz w:val="28"/>
          <w:szCs w:val="28"/>
        </w:rPr>
        <w:t xml:space="preserve"> “文物”（款）202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110913.09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114288.88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103.04</w:t>
      </w:r>
      <w:r>
        <w:rPr>
          <w:rFonts w:hint="eastAsia" w:ascii="仿宋_GB2312" w:eastAsia="仿宋_GB2312"/>
          <w:sz w:val="28"/>
          <w:szCs w:val="28"/>
        </w:rPr>
        <w:t>%。主要原因：</w:t>
      </w:r>
      <w:r>
        <w:rPr>
          <w:rFonts w:hint="eastAsia" w:ascii="仿宋_GB2312" w:eastAsia="仿宋_GB2312"/>
          <w:color w:val="auto"/>
          <w:sz w:val="28"/>
          <w:szCs w:val="28"/>
          <w:lang w:eastAsia="zh-CN"/>
        </w:rPr>
        <w:t>根据年度重点工作任务进展，安排大运河博物馆等重点项目经费支出。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885.49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882.78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885.49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882.78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99.69</w:t>
      </w:r>
      <w:r>
        <w:rPr>
          <w:rFonts w:hint="eastAsia" w:ascii="仿宋_GB2312" w:eastAsia="仿宋_GB2312"/>
          <w:sz w:val="28"/>
          <w:szCs w:val="28"/>
        </w:rPr>
        <w:t>%。主要原因：部分离退休干部去世，减少相关经费支出。</w:t>
      </w:r>
    </w:p>
    <w:p>
      <w:pPr>
        <w:pStyle w:val="2"/>
        <w:numPr>
          <w:ilvl w:val="0"/>
          <w:numId w:val="0"/>
        </w:numPr>
        <w:ind w:leftChars="200"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4.“</w:t>
      </w:r>
      <w:r>
        <w:rPr>
          <w:rFonts w:hint="eastAsia" w:ascii="CESI仿宋-GB2312" w:hAnsi="CESI仿宋-GB2312" w:eastAsia="CESI仿宋-GB2312" w:cs="CESI仿宋-GB2312"/>
          <w:b w:val="0"/>
          <w:bCs/>
          <w:sz w:val="28"/>
          <w:szCs w:val="28"/>
          <w:lang w:eastAsia="zh-CN"/>
        </w:rPr>
        <w:t>灾害防治及应急管理支出</w:t>
      </w:r>
      <w:r>
        <w:rPr>
          <w:rFonts w:hint="eastAsia" w:ascii="仿宋_GB2312" w:hAnsi="Times New Roman" w:eastAsia="仿宋_GB2312" w:cs="Times New Roman"/>
          <w:b w:val="0"/>
          <w:bCs w:val="0"/>
          <w:kern w:val="2"/>
          <w:sz w:val="28"/>
          <w:szCs w:val="28"/>
          <w:lang w:val="en-US" w:eastAsia="zh-CN" w:bidi="ar-SA"/>
        </w:rPr>
        <w:t>”（类）2024年度年初预算982.00万元，2024年度决算982.00万元，完成年初预算的100%。其中：</w:t>
      </w:r>
    </w:p>
    <w:p>
      <w:pPr>
        <w:pStyle w:val="2"/>
        <w:numPr>
          <w:ilvl w:val="0"/>
          <w:numId w:val="0"/>
        </w:numPr>
        <w:ind w:firstLine="560" w:firstLineChars="200"/>
        <w:rPr>
          <w:rFonts w:hint="eastAsia" w:ascii="仿宋_GB2312" w:eastAsia="仿宋_GB2312"/>
          <w:sz w:val="28"/>
          <w:szCs w:val="28"/>
        </w:rPr>
      </w:pPr>
      <w:r>
        <w:rPr>
          <w:rFonts w:hint="eastAsia" w:ascii="仿宋_GB2312" w:eastAsia="仿宋_GB2312" w:cs="Times New Roman"/>
          <w:b w:val="0"/>
          <w:bCs w:val="0"/>
          <w:kern w:val="2"/>
          <w:sz w:val="28"/>
          <w:szCs w:val="28"/>
          <w:lang w:val="en-US" w:eastAsia="zh-CN" w:bidi="ar-SA"/>
        </w:rPr>
        <w:t>“自然灾害救灾及恢复重建支出”（款）</w:t>
      </w:r>
      <w:r>
        <w:rPr>
          <w:rFonts w:hint="eastAsia" w:ascii="仿宋_GB2312" w:hAnsi="Times New Roman" w:eastAsia="仿宋_GB2312" w:cs="Times New Roman"/>
          <w:b w:val="0"/>
          <w:bCs w:val="0"/>
          <w:kern w:val="2"/>
          <w:sz w:val="28"/>
          <w:szCs w:val="28"/>
          <w:lang w:val="en-US" w:eastAsia="zh-CN" w:bidi="ar-SA"/>
        </w:rPr>
        <w:t>2024年度年初预算982.00万元，2024年度决算982.00万元，完成年初预算的100%。</w:t>
      </w:r>
    </w:p>
    <w:p>
      <w:pPr>
        <w:pStyle w:val="2"/>
        <w:numPr>
          <w:ilvl w:val="0"/>
          <w:numId w:val="1"/>
        </w:numPr>
        <w:ind w:left="421" w:leftChars="0"/>
        <w:rPr>
          <w:rFonts w:hint="eastAsia" w:ascii="黑体" w:eastAsia="黑体"/>
          <w:b/>
          <w:sz w:val="28"/>
          <w:szCs w:val="28"/>
        </w:rPr>
      </w:pPr>
      <w:r>
        <w:rPr>
          <w:rFonts w:hint="eastAsia" w:ascii="黑体" w:eastAsia="黑体"/>
          <w:b/>
          <w:sz w:val="28"/>
          <w:szCs w:val="28"/>
        </w:rPr>
        <w:t>政府性基金预算财政拨款支出决算情况说明</w:t>
      </w:r>
    </w:p>
    <w:p>
      <w:pPr>
        <w:pStyle w:val="2"/>
        <w:numPr>
          <w:ilvl w:val="0"/>
          <w:numId w:val="0"/>
        </w:numPr>
        <w:ind w:firstLine="560" w:firstLineChars="200"/>
        <w:rPr>
          <w:rFonts w:hint="eastAsia" w:ascii="CESI仿宋-GB2312" w:hAnsi="CESI仿宋-GB2312" w:eastAsia="CESI仿宋-GB2312" w:cs="CESI仿宋-GB2312"/>
          <w:b w:val="0"/>
          <w:bCs/>
          <w:sz w:val="28"/>
          <w:szCs w:val="28"/>
          <w:lang w:eastAsia="zh-CN"/>
        </w:rPr>
      </w:pPr>
      <w:r>
        <w:rPr>
          <w:rFonts w:hint="eastAsia" w:ascii="CESI仿宋-GB2312" w:hAnsi="CESI仿宋-GB2312" w:eastAsia="CESI仿宋-GB2312" w:cs="CESI仿宋-GB2312"/>
          <w:b w:val="0"/>
          <w:bCs/>
          <w:sz w:val="28"/>
          <w:szCs w:val="28"/>
        </w:rPr>
        <w:t>本年度无此项经费支出</w:t>
      </w:r>
      <w:r>
        <w:rPr>
          <w:rFonts w:hint="eastAsia" w:ascii="CESI仿宋-GB2312" w:hAnsi="CESI仿宋-GB2312" w:eastAsia="CESI仿宋-GB2312" w:cs="CESI仿宋-GB2312"/>
          <w:b w:val="0"/>
          <w:bCs/>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47401.01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224.58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251.48</w:t>
      </w:r>
      <w:r>
        <w:rPr>
          <w:rFonts w:hint="eastAsia" w:ascii="仿宋_GB2312" w:eastAsia="仿宋_GB2312"/>
          <w:sz w:val="28"/>
          <w:szCs w:val="28"/>
        </w:rPr>
        <w:t>万元减少</w:t>
      </w:r>
      <w:r>
        <w:rPr>
          <w:rFonts w:ascii="仿宋_GB2312" w:eastAsia="仿宋_GB2312"/>
          <w:sz w:val="28"/>
          <w:szCs w:val="28"/>
        </w:rPr>
        <w:t>26.9</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91.63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69</w:t>
      </w:r>
      <w:r>
        <w:rPr>
          <w:rFonts w:hint="eastAsia" w:ascii="仿宋_GB2312" w:eastAsia="仿宋_GB2312"/>
          <w:sz w:val="28"/>
          <w:szCs w:val="28"/>
        </w:rPr>
        <w:t>万元增加</w:t>
      </w:r>
      <w:r>
        <w:rPr>
          <w:rFonts w:ascii="仿宋_GB2312" w:eastAsia="仿宋_GB2312"/>
          <w:sz w:val="28"/>
          <w:szCs w:val="28"/>
        </w:rPr>
        <w:t>22.63</w:t>
      </w:r>
      <w:r>
        <w:rPr>
          <w:rFonts w:hint="eastAsia" w:ascii="仿宋_GB2312" w:eastAsia="仿宋_GB2312"/>
          <w:sz w:val="28"/>
          <w:szCs w:val="28"/>
        </w:rPr>
        <w:t>万元。主要原因：是按照北京中轴线申遗保护的工作要求</w:t>
      </w:r>
      <w:r>
        <w:rPr>
          <w:rFonts w:hint="eastAsia" w:ascii="仿宋_GB2312" w:eastAsia="仿宋_GB2312"/>
          <w:sz w:val="28"/>
          <w:szCs w:val="28"/>
          <w:lang w:eastAsia="zh-CN"/>
        </w:rPr>
        <w:t>，</w:t>
      </w:r>
      <w:r>
        <w:rPr>
          <w:rFonts w:hint="eastAsia" w:ascii="仿宋_GB2312" w:eastAsia="仿宋_GB2312"/>
          <w:sz w:val="28"/>
          <w:szCs w:val="28"/>
        </w:rPr>
        <w:t>增加赴印度参加世界遗产大会团组等活动。2024年度因公出国（境）费用主要用于中轴线申遗保护工作及文物保护交流等方面，2024年度组织因公出国（境）团组4个、13人次。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0.84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23.72</w:t>
      </w:r>
      <w:r>
        <w:rPr>
          <w:rFonts w:hint="eastAsia" w:ascii="仿宋_GB2312" w:eastAsia="仿宋_GB2312"/>
          <w:sz w:val="28"/>
          <w:szCs w:val="28"/>
        </w:rPr>
        <w:t>万元减少</w:t>
      </w:r>
      <w:r>
        <w:rPr>
          <w:rFonts w:ascii="仿宋_GB2312" w:eastAsia="仿宋_GB2312"/>
          <w:sz w:val="28"/>
          <w:szCs w:val="28"/>
        </w:rPr>
        <w:t>22.8</w:t>
      </w:r>
      <w:r>
        <w:rPr>
          <w:rFonts w:hint="eastAsia" w:ascii="仿宋_GB2312" w:eastAsia="仿宋_GB2312"/>
          <w:sz w:val="28"/>
          <w:szCs w:val="28"/>
          <w:lang w:val="en-US" w:eastAsia="zh-CN"/>
        </w:rPr>
        <w:t>8</w:t>
      </w:r>
      <w:r>
        <w:rPr>
          <w:rFonts w:hint="eastAsia" w:ascii="仿宋_GB2312" w:eastAsia="仿宋_GB2312"/>
          <w:sz w:val="28"/>
          <w:szCs w:val="28"/>
        </w:rPr>
        <w:t>万元。主要原因：贯彻落实中央八项规定精神，落实政府过紧日子要求，厉行节约，严格控制公务接待梳理、规模和接待标准，公务接待费相应减少。202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w:t>
      </w:r>
      <w:r>
        <w:rPr>
          <w:rFonts w:hint="eastAsia" w:ascii="仿宋_GB2312" w:eastAsia="仿宋_GB2312"/>
          <w:color w:val="000000" w:themeColor="text1"/>
          <w:sz w:val="28"/>
          <w:szCs w:val="28"/>
          <w14:textFill>
            <w14:solidFill>
              <w14:schemeClr w14:val="tx1"/>
            </w14:solidFill>
          </w14:textFill>
        </w:rPr>
        <w:t>配合中轴线申遗工作，</w:t>
      </w:r>
      <w:r>
        <w:rPr>
          <w:rFonts w:hint="eastAsia" w:ascii="仿宋_GB2312" w:eastAsia="仿宋_GB2312"/>
          <w:color w:val="000000" w:themeColor="text1"/>
          <w:sz w:val="28"/>
          <w:szCs w:val="28"/>
          <w:lang w:eastAsia="zh-CN"/>
          <w14:textFill>
            <w14:solidFill>
              <w14:schemeClr w14:val="tx1"/>
            </w14:solidFill>
          </w14:textFill>
        </w:rPr>
        <w:t>接待专家及外省市来京实地调研</w:t>
      </w:r>
      <w:r>
        <w:rPr>
          <w:rFonts w:hint="eastAsia" w:ascii="仿宋_GB2312" w:eastAsia="仿宋_GB2312"/>
          <w:color w:val="000000" w:themeColor="text1"/>
          <w:sz w:val="28"/>
          <w:szCs w:val="28"/>
          <w14:textFill>
            <w14:solidFill>
              <w14:schemeClr w14:val="tx1"/>
            </w14:solidFill>
          </w14:textFill>
        </w:rPr>
        <w:t>等</w:t>
      </w:r>
      <w:r>
        <w:rPr>
          <w:rFonts w:hint="eastAsia" w:ascii="仿宋_GB2312" w:eastAsia="仿宋_GB2312"/>
          <w:sz w:val="28"/>
          <w:szCs w:val="28"/>
        </w:rPr>
        <w:t>。公务接待</w:t>
      </w:r>
      <w:r>
        <w:rPr>
          <w:rFonts w:hint="eastAsia" w:ascii="仿宋_GB2312" w:eastAsia="仿宋_GB2312"/>
          <w:sz w:val="28"/>
          <w:szCs w:val="28"/>
          <w:lang w:eastAsia="zh-CN"/>
        </w:rPr>
        <w:t>7</w:t>
      </w:r>
      <w:r>
        <w:rPr>
          <w:rFonts w:hint="eastAsia" w:ascii="仿宋_GB2312" w:eastAsia="仿宋_GB2312"/>
          <w:sz w:val="28"/>
          <w:szCs w:val="28"/>
        </w:rPr>
        <w:t>批次，公务接待</w:t>
      </w:r>
      <w:r>
        <w:rPr>
          <w:rFonts w:hint="eastAsia" w:ascii="仿宋_GB2312" w:eastAsia="仿宋_GB2312"/>
          <w:sz w:val="28"/>
          <w:szCs w:val="28"/>
          <w:lang w:eastAsia="zh-CN"/>
        </w:rPr>
        <w:t>75</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132.12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158.76</w:t>
      </w:r>
      <w:r>
        <w:rPr>
          <w:rFonts w:hint="eastAsia" w:ascii="仿宋_GB2312" w:eastAsia="仿宋_GB2312"/>
          <w:sz w:val="28"/>
          <w:szCs w:val="28"/>
        </w:rPr>
        <w:t>万元减少</w:t>
      </w:r>
      <w:r>
        <w:rPr>
          <w:rFonts w:ascii="仿宋_GB2312" w:eastAsia="仿宋_GB2312"/>
          <w:sz w:val="28"/>
          <w:szCs w:val="28"/>
        </w:rPr>
        <w:t>26.64</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78.45</w:t>
      </w:r>
      <w:r>
        <w:rPr>
          <w:rFonts w:hint="eastAsia" w:ascii="仿宋_GB2312" w:eastAsia="仿宋_GB2312"/>
          <w:sz w:val="28"/>
          <w:szCs w:val="28"/>
        </w:rPr>
        <w:t>万元，主要原因：</w:t>
      </w:r>
      <w:r>
        <w:rPr>
          <w:rFonts w:hint="eastAsia" w:ascii="CESI仿宋-GB2312" w:hAnsi="CESI仿宋-GB2312" w:eastAsia="CESI仿宋-GB2312" w:cs="CESI仿宋-GB2312"/>
          <w:b w:val="0"/>
          <w:bCs/>
          <w:sz w:val="28"/>
          <w:szCs w:val="28"/>
          <w:lang w:eastAsia="zh-CN"/>
        </w:rPr>
        <w:t>车</w:t>
      </w:r>
      <w:r>
        <w:rPr>
          <w:rFonts w:hint="eastAsia" w:ascii="仿宋_GB2312" w:eastAsia="仿宋_GB2312"/>
          <w:sz w:val="28"/>
          <w:szCs w:val="28"/>
          <w:lang w:eastAsia="zh-CN"/>
        </w:rPr>
        <w:t>辆单价下降</w:t>
      </w:r>
      <w:r>
        <w:rPr>
          <w:rFonts w:hint="eastAsia" w:ascii="仿宋_GB2312" w:eastAsia="仿宋_GB2312"/>
          <w:sz w:val="28"/>
          <w:szCs w:val="28"/>
        </w:rPr>
        <w:t>，</w:t>
      </w:r>
      <w:r>
        <w:rPr>
          <w:rFonts w:hint="eastAsia" w:ascii="仿宋_GB2312" w:eastAsia="仿宋_GB2312"/>
          <w:sz w:val="28"/>
          <w:szCs w:val="28"/>
          <w:lang w:eastAsia="zh-CN"/>
        </w:rPr>
        <w:t>减少了购车费用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4</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53.67</w:t>
      </w:r>
      <w:r>
        <w:rPr>
          <w:rFonts w:hint="eastAsia" w:ascii="仿宋_GB2312" w:eastAsia="仿宋_GB2312"/>
          <w:sz w:val="28"/>
          <w:szCs w:val="28"/>
        </w:rPr>
        <w:t>万元，主要原因：贯彻落实中央八项规定精神，落实政府过紧日子要求，厉行节约，减少车辆运行费用。202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417.02</w:t>
      </w:r>
      <w:r>
        <w:rPr>
          <w:rFonts w:hint="eastAsia" w:ascii="仿宋_GB2312" w:eastAsia="仿宋_GB2312"/>
          <w:sz w:val="28"/>
          <w:szCs w:val="28"/>
        </w:rPr>
        <w:t>万元，比上年减少56.66万元，</w:t>
      </w:r>
      <w:r>
        <w:rPr>
          <w:rFonts w:hint="eastAsia" w:ascii="仿宋_GB2312" w:eastAsia="仿宋_GB2312"/>
          <w:color w:val="auto"/>
          <w:sz w:val="28"/>
          <w:szCs w:val="28"/>
        </w:rPr>
        <w:t>减少原因：落实政府过紧日子要求，厉行勤俭节约要求，严格控制费用支出。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45886.43</w:t>
      </w:r>
      <w:r>
        <w:rPr>
          <w:rFonts w:hint="eastAsia" w:ascii="仿宋_GB2312" w:eastAsia="仿宋_GB2312"/>
          <w:sz w:val="28"/>
          <w:szCs w:val="28"/>
        </w:rPr>
        <w:t>万元，其中：政府采购货物支出</w:t>
      </w:r>
      <w:r>
        <w:rPr>
          <w:rFonts w:ascii="仿宋_GB2312" w:eastAsia="仿宋_GB2312"/>
          <w:sz w:val="28"/>
          <w:szCs w:val="28"/>
        </w:rPr>
        <w:t>7884</w:t>
      </w:r>
      <w:r>
        <w:rPr>
          <w:rFonts w:hint="eastAsia" w:ascii="仿宋_GB2312" w:eastAsia="仿宋_GB2312"/>
          <w:sz w:val="28"/>
          <w:szCs w:val="28"/>
          <w:lang w:val="en-US" w:eastAsia="zh-CN"/>
        </w:rPr>
        <w:t>.00</w:t>
      </w:r>
      <w:r>
        <w:rPr>
          <w:rFonts w:hint="eastAsia" w:ascii="仿宋_GB2312" w:eastAsia="仿宋_GB2312"/>
          <w:sz w:val="28"/>
          <w:szCs w:val="28"/>
        </w:rPr>
        <w:t>万元，政府采购工程支出</w:t>
      </w:r>
      <w:r>
        <w:rPr>
          <w:rFonts w:ascii="仿宋_GB2312" w:eastAsia="仿宋_GB2312"/>
          <w:sz w:val="28"/>
          <w:szCs w:val="28"/>
        </w:rPr>
        <w:t>1768.41</w:t>
      </w:r>
      <w:r>
        <w:rPr>
          <w:rFonts w:hint="eastAsia" w:ascii="仿宋_GB2312" w:eastAsia="仿宋_GB2312"/>
          <w:sz w:val="28"/>
          <w:szCs w:val="28"/>
        </w:rPr>
        <w:t>万元，政府采购服务支出</w:t>
      </w:r>
      <w:r>
        <w:rPr>
          <w:rFonts w:ascii="仿宋_GB2312" w:eastAsia="仿宋_GB2312"/>
          <w:sz w:val="28"/>
          <w:szCs w:val="28"/>
        </w:rPr>
        <w:t>36234.02</w:t>
      </w:r>
      <w:r>
        <w:rPr>
          <w:rFonts w:hint="eastAsia" w:ascii="仿宋_GB2312" w:eastAsia="仿宋_GB2312"/>
          <w:sz w:val="28"/>
          <w:szCs w:val="28"/>
        </w:rPr>
        <w:t>万元。授予中小企业合同金额</w:t>
      </w:r>
      <w:r>
        <w:rPr>
          <w:rFonts w:ascii="仿宋_GB2312" w:eastAsia="仿宋_GB2312"/>
          <w:sz w:val="28"/>
          <w:szCs w:val="28"/>
        </w:rPr>
        <w:t>29757.56</w:t>
      </w:r>
      <w:r>
        <w:rPr>
          <w:rFonts w:hint="eastAsia" w:ascii="仿宋_GB2312" w:eastAsia="仿宋_GB2312"/>
          <w:sz w:val="28"/>
          <w:szCs w:val="28"/>
        </w:rPr>
        <w:t>万元，占政府采购支出总额的</w:t>
      </w:r>
      <w:r>
        <w:rPr>
          <w:rFonts w:hint="eastAsia" w:ascii="仿宋_GB2312" w:eastAsia="仿宋_GB2312"/>
          <w:sz w:val="28"/>
          <w:szCs w:val="28"/>
          <w:lang w:eastAsia="zh-CN"/>
        </w:rPr>
        <w:t>64.85</w:t>
      </w:r>
      <w:r>
        <w:rPr>
          <w:rFonts w:hint="eastAsia" w:ascii="仿宋_GB2312" w:eastAsia="仿宋_GB2312"/>
          <w:sz w:val="28"/>
          <w:szCs w:val="28"/>
        </w:rPr>
        <w:t>%，其中：授予小微企业合同金额</w:t>
      </w:r>
      <w:r>
        <w:rPr>
          <w:rFonts w:ascii="仿宋_GB2312" w:eastAsia="仿宋_GB2312"/>
          <w:sz w:val="28"/>
          <w:szCs w:val="28"/>
        </w:rPr>
        <w:t>18106.89</w:t>
      </w:r>
      <w:r>
        <w:rPr>
          <w:rFonts w:hint="eastAsia" w:ascii="仿宋_GB2312" w:eastAsia="仿宋_GB2312"/>
          <w:sz w:val="28"/>
          <w:szCs w:val="28"/>
        </w:rPr>
        <w:t>万元，占政府采购支出总额的</w:t>
      </w:r>
      <w:r>
        <w:rPr>
          <w:rFonts w:ascii="仿宋_GB2312" w:eastAsia="仿宋_GB2312"/>
          <w:sz w:val="28"/>
          <w:szCs w:val="28"/>
        </w:rPr>
        <w:t>39.46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12月31日，北京市文物局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49</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color w:val="auto"/>
          <w:sz w:val="28"/>
          <w:szCs w:val="28"/>
          <w:lang w:val="en-US" w:eastAsia="zh-CN"/>
        </w:rPr>
        <w:t>56</w:t>
      </w:r>
      <w:r>
        <w:rPr>
          <w:rFonts w:hint="eastAsia" w:ascii="仿宋_GB2312" w:eastAsia="仿宋_GB2312"/>
          <w:color w:val="auto"/>
          <w:sz w:val="28"/>
          <w:szCs w:val="28"/>
        </w:rPr>
        <w:t>台（</w:t>
      </w:r>
      <w:r>
        <w:rPr>
          <w:rFonts w:hint="eastAsia" w:ascii="仿宋_GB2312" w:eastAsia="仿宋_GB2312"/>
          <w:sz w:val="28"/>
          <w:szCs w:val="28"/>
        </w:rPr>
        <w:t>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政府购买服务决算3070.17</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CESI仿宋-GB2312" w:hAnsi="CESI仿宋-GB2312" w:eastAsia="CESI仿宋-GB2312" w:cs="CESI仿宋-GB2312"/>
          <w:b w:val="0"/>
          <w:bCs/>
          <w:color w:val="auto"/>
          <w:sz w:val="28"/>
          <w:szCs w:val="28"/>
          <w:lang w:eastAsia="zh-CN"/>
        </w:rPr>
      </w:pPr>
      <w:r>
        <w:rPr>
          <w:rFonts w:hint="eastAsia" w:ascii="CESI仿宋-GB2312" w:hAnsi="CESI仿宋-GB2312" w:eastAsia="CESI仿宋-GB2312" w:cs="CESI仿宋-GB2312"/>
          <w:b w:val="0"/>
          <w:bCs/>
          <w:color w:val="auto"/>
          <w:sz w:val="28"/>
          <w:szCs w:val="28"/>
          <w:lang w:val="en-US" w:eastAsia="zh-CN"/>
        </w:rPr>
        <w:t>7.</w:t>
      </w:r>
      <w:r>
        <w:rPr>
          <w:rFonts w:hint="eastAsia" w:ascii="CESI仿宋-GB2312" w:hAnsi="CESI仿宋-GB2312" w:eastAsia="CESI仿宋-GB2312" w:cs="CESI仿宋-GB2312"/>
          <w:b w:val="0"/>
          <w:bCs/>
          <w:color w:val="auto"/>
          <w:sz w:val="28"/>
          <w:szCs w:val="28"/>
          <w:lang w:eastAsia="zh-CN"/>
        </w:rPr>
        <w:t>教育支出</w:t>
      </w:r>
      <w:r>
        <w:rPr>
          <w:rFonts w:hint="eastAsia" w:ascii="CESI仿宋-GB2312" w:hAnsi="CESI仿宋-GB2312" w:eastAsia="CESI仿宋-GB2312" w:cs="CESI仿宋-GB2312"/>
          <w:b w:val="0"/>
          <w:bCs/>
          <w:color w:val="auto"/>
          <w:sz w:val="28"/>
          <w:szCs w:val="28"/>
        </w:rPr>
        <w:t>（类）</w:t>
      </w:r>
      <w:r>
        <w:rPr>
          <w:rFonts w:hint="eastAsia" w:ascii="CESI仿宋-GB2312" w:hAnsi="CESI仿宋-GB2312" w:eastAsia="CESI仿宋-GB2312" w:cs="CESI仿宋-GB2312"/>
          <w:b w:val="0"/>
          <w:bCs/>
          <w:color w:val="auto"/>
          <w:sz w:val="28"/>
          <w:szCs w:val="28"/>
          <w:lang w:eastAsia="zh-CN"/>
        </w:rPr>
        <w:t>进修及培训</w:t>
      </w:r>
      <w:r>
        <w:rPr>
          <w:rFonts w:hint="eastAsia" w:ascii="CESI仿宋-GB2312" w:hAnsi="CESI仿宋-GB2312" w:eastAsia="CESI仿宋-GB2312" w:cs="CESI仿宋-GB2312"/>
          <w:b w:val="0"/>
          <w:bCs/>
          <w:color w:val="auto"/>
          <w:sz w:val="28"/>
          <w:szCs w:val="28"/>
        </w:rPr>
        <w:t>（款）</w:t>
      </w:r>
      <w:r>
        <w:rPr>
          <w:rFonts w:hint="eastAsia" w:ascii="CESI仿宋-GB2312" w:hAnsi="CESI仿宋-GB2312" w:eastAsia="CESI仿宋-GB2312" w:cs="CESI仿宋-GB2312"/>
          <w:b w:val="0"/>
          <w:bCs/>
          <w:color w:val="auto"/>
          <w:sz w:val="28"/>
          <w:szCs w:val="28"/>
          <w:lang w:eastAsia="zh-CN"/>
        </w:rPr>
        <w:t>培训支出</w:t>
      </w:r>
      <w:r>
        <w:rPr>
          <w:rFonts w:hint="eastAsia" w:ascii="CESI仿宋-GB2312" w:hAnsi="CESI仿宋-GB2312" w:eastAsia="CESI仿宋-GB2312" w:cs="CESI仿宋-GB2312"/>
          <w:b w:val="0"/>
          <w:bCs/>
          <w:color w:val="auto"/>
          <w:sz w:val="28"/>
          <w:szCs w:val="28"/>
        </w:rPr>
        <w:t>（项）：反映</w:t>
      </w:r>
      <w:r>
        <w:rPr>
          <w:rFonts w:hint="eastAsia" w:ascii="CESI仿宋-GB2312" w:hAnsi="CESI仿宋-GB2312" w:eastAsia="CESI仿宋-GB2312" w:cs="CESI仿宋-GB2312"/>
          <w:b w:val="0"/>
          <w:bCs/>
          <w:color w:val="auto"/>
          <w:sz w:val="28"/>
          <w:szCs w:val="28"/>
          <w:lang w:eastAsia="zh-CN"/>
        </w:rPr>
        <w:t>本单位安排的用于培训的支出。</w:t>
      </w:r>
    </w:p>
    <w:p>
      <w:pPr>
        <w:ind w:firstLine="560" w:firstLineChars="200"/>
        <w:rPr>
          <w:rFonts w:hint="eastAsia" w:ascii="CESI仿宋-GB2312" w:hAnsi="CESI仿宋-GB2312" w:eastAsia="CESI仿宋-GB2312" w:cs="CESI仿宋-GB2312"/>
          <w:b w:val="0"/>
          <w:bCs/>
          <w:color w:val="auto"/>
          <w:sz w:val="28"/>
          <w:szCs w:val="28"/>
          <w:lang w:eastAsia="zh-CN"/>
        </w:rPr>
      </w:pPr>
      <w:r>
        <w:rPr>
          <w:rFonts w:hint="eastAsia" w:ascii="CESI仿宋-GB2312" w:hAnsi="CESI仿宋-GB2312" w:eastAsia="CESI仿宋-GB2312" w:cs="CESI仿宋-GB2312"/>
          <w:b w:val="0"/>
          <w:bCs/>
          <w:color w:val="auto"/>
          <w:sz w:val="28"/>
          <w:szCs w:val="28"/>
          <w:lang w:val="en-US" w:eastAsia="zh-CN"/>
        </w:rPr>
        <w:t>8.</w:t>
      </w:r>
      <w:r>
        <w:rPr>
          <w:rFonts w:hint="eastAsia" w:ascii="CESI仿宋-GB2312" w:hAnsi="CESI仿宋-GB2312" w:eastAsia="CESI仿宋-GB2312" w:cs="CESI仿宋-GB2312"/>
          <w:b w:val="0"/>
          <w:bCs/>
          <w:color w:val="auto"/>
          <w:sz w:val="28"/>
          <w:szCs w:val="28"/>
        </w:rPr>
        <w:t>文化旅游体育与传媒支出（类）</w:t>
      </w:r>
      <w:r>
        <w:rPr>
          <w:rFonts w:hint="eastAsia" w:ascii="CESI仿宋-GB2312" w:hAnsi="CESI仿宋-GB2312" w:eastAsia="CESI仿宋-GB2312" w:cs="CESI仿宋-GB2312"/>
          <w:b w:val="0"/>
          <w:bCs/>
          <w:color w:val="auto"/>
          <w:sz w:val="28"/>
          <w:szCs w:val="28"/>
          <w:lang w:eastAsia="zh-CN"/>
        </w:rPr>
        <w:t>文化和旅游</w:t>
      </w:r>
      <w:r>
        <w:rPr>
          <w:rFonts w:hint="eastAsia" w:ascii="CESI仿宋-GB2312" w:hAnsi="CESI仿宋-GB2312" w:eastAsia="CESI仿宋-GB2312" w:cs="CESI仿宋-GB2312"/>
          <w:b w:val="0"/>
          <w:bCs/>
          <w:color w:val="auto"/>
          <w:sz w:val="28"/>
          <w:szCs w:val="28"/>
        </w:rPr>
        <w:t>（款）</w:t>
      </w:r>
      <w:r>
        <w:rPr>
          <w:rFonts w:hint="eastAsia" w:ascii="CESI仿宋-GB2312" w:hAnsi="CESI仿宋-GB2312" w:eastAsia="CESI仿宋-GB2312" w:cs="CESI仿宋-GB2312"/>
          <w:b w:val="0"/>
          <w:bCs/>
          <w:color w:val="auto"/>
          <w:sz w:val="28"/>
          <w:szCs w:val="28"/>
          <w:lang w:eastAsia="zh-CN"/>
        </w:rPr>
        <w:t>其它文化和旅游支出</w:t>
      </w:r>
      <w:r>
        <w:rPr>
          <w:rFonts w:hint="eastAsia" w:ascii="CESI仿宋-GB2312" w:hAnsi="CESI仿宋-GB2312" w:eastAsia="CESI仿宋-GB2312" w:cs="CESI仿宋-GB2312"/>
          <w:b w:val="0"/>
          <w:bCs/>
          <w:color w:val="auto"/>
          <w:sz w:val="28"/>
          <w:szCs w:val="28"/>
        </w:rPr>
        <w:t>（项）：反映</w:t>
      </w:r>
      <w:r>
        <w:rPr>
          <w:rFonts w:hint="eastAsia" w:ascii="CESI仿宋-GB2312" w:hAnsi="CESI仿宋-GB2312" w:eastAsia="CESI仿宋-GB2312" w:cs="CESI仿宋-GB2312"/>
          <w:b w:val="0"/>
          <w:bCs/>
          <w:color w:val="auto"/>
          <w:sz w:val="28"/>
          <w:szCs w:val="28"/>
          <w:lang w:eastAsia="zh-CN"/>
        </w:rPr>
        <w:t>用于其它文化和旅游方面的支出</w:t>
      </w:r>
      <w:r>
        <w:rPr>
          <w:rFonts w:hint="eastAsia" w:ascii="CESI仿宋-GB2312" w:hAnsi="CESI仿宋-GB2312" w:eastAsia="CESI仿宋-GB2312" w:cs="CESI仿宋-GB2312"/>
          <w:b w:val="0"/>
          <w:bCs/>
          <w:color w:val="auto"/>
          <w:sz w:val="28"/>
          <w:szCs w:val="28"/>
        </w:rPr>
        <w:t>。</w:t>
      </w:r>
    </w:p>
    <w:p>
      <w:pPr>
        <w:ind w:firstLine="560" w:firstLineChars="200"/>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9.</w:t>
      </w:r>
      <w:r>
        <w:rPr>
          <w:rFonts w:hint="eastAsia" w:ascii="CESI仿宋-GB2312" w:hAnsi="CESI仿宋-GB2312" w:eastAsia="CESI仿宋-GB2312" w:cs="CESI仿宋-GB2312"/>
          <w:b w:val="0"/>
          <w:bCs/>
          <w:color w:val="auto"/>
          <w:sz w:val="28"/>
          <w:szCs w:val="28"/>
        </w:rPr>
        <w:t>文化旅游体育与传媒支出（类）文物（款）行政运行（项）：反映行政单位（包括实行公务员管理的事业单位）的基本支出。</w:t>
      </w:r>
    </w:p>
    <w:p>
      <w:pPr>
        <w:pStyle w:val="4"/>
        <w:ind w:left="0" w:leftChars="0" w:firstLine="560" w:firstLineChars="200"/>
        <w:rPr>
          <w:rFonts w:hint="eastAsia" w:ascii="CESI仿宋-GB2312" w:hAnsi="CESI仿宋-GB2312" w:eastAsia="CESI仿宋-GB2312" w:cs="CESI仿宋-GB2312"/>
          <w:b w:val="0"/>
          <w:bCs/>
          <w:color w:val="auto"/>
          <w:sz w:val="28"/>
          <w:szCs w:val="28"/>
          <w:lang w:eastAsia="zh-CN"/>
        </w:rPr>
      </w:pPr>
      <w:r>
        <w:rPr>
          <w:rFonts w:hint="eastAsia" w:ascii="CESI仿宋-GB2312" w:hAnsi="CESI仿宋-GB2312" w:eastAsia="CESI仿宋-GB2312" w:cs="CESI仿宋-GB2312"/>
          <w:b w:val="0"/>
          <w:bCs/>
          <w:color w:val="auto"/>
          <w:sz w:val="28"/>
          <w:szCs w:val="28"/>
          <w:lang w:val="en-US" w:eastAsia="zh-CN"/>
        </w:rPr>
        <w:t>10.</w:t>
      </w:r>
      <w:r>
        <w:rPr>
          <w:rFonts w:hint="eastAsia" w:ascii="CESI仿宋-GB2312" w:hAnsi="CESI仿宋-GB2312" w:eastAsia="CESI仿宋-GB2312" w:cs="CESI仿宋-GB2312"/>
          <w:b w:val="0"/>
          <w:bCs/>
          <w:color w:val="auto"/>
          <w:sz w:val="28"/>
          <w:szCs w:val="28"/>
        </w:rPr>
        <w:t>文化旅游体育与传媒支出（类）文物（款）</w:t>
      </w:r>
      <w:r>
        <w:rPr>
          <w:rFonts w:hint="eastAsia" w:ascii="CESI仿宋-GB2312" w:hAnsi="CESI仿宋-GB2312" w:eastAsia="CESI仿宋-GB2312" w:cs="CESI仿宋-GB2312"/>
          <w:b w:val="0"/>
          <w:bCs/>
          <w:color w:val="auto"/>
          <w:sz w:val="28"/>
          <w:szCs w:val="28"/>
          <w:lang w:eastAsia="zh-CN"/>
        </w:rPr>
        <w:t>机关服务（项）：反映行政单位（包括实行公务员管理的事业单位）提供后勤服务的各类后勤服务中心、医务室等附属事业单位的支出。</w:t>
      </w:r>
    </w:p>
    <w:p>
      <w:pPr>
        <w:pStyle w:val="4"/>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11.</w:t>
      </w:r>
      <w:r>
        <w:rPr>
          <w:rFonts w:hint="eastAsia" w:ascii="CESI仿宋-GB2312" w:hAnsi="CESI仿宋-GB2312" w:eastAsia="CESI仿宋-GB2312" w:cs="CESI仿宋-GB2312"/>
          <w:b w:val="0"/>
          <w:bCs/>
          <w:color w:val="auto"/>
          <w:sz w:val="28"/>
          <w:szCs w:val="28"/>
        </w:rPr>
        <w:t>文化旅游体育与传媒支出（类）文物（款）</w:t>
      </w:r>
      <w:r>
        <w:rPr>
          <w:rFonts w:hint="eastAsia" w:ascii="CESI仿宋-GB2312" w:hAnsi="CESI仿宋-GB2312" w:eastAsia="CESI仿宋-GB2312" w:cs="CESI仿宋-GB2312"/>
          <w:b w:val="0"/>
          <w:bCs/>
          <w:color w:val="auto"/>
          <w:sz w:val="28"/>
          <w:szCs w:val="28"/>
          <w:lang w:eastAsia="zh-CN"/>
        </w:rPr>
        <w:t>文物保护</w:t>
      </w:r>
      <w:r>
        <w:rPr>
          <w:rFonts w:hint="eastAsia" w:ascii="CESI仿宋-GB2312" w:hAnsi="CESI仿宋-GB2312" w:eastAsia="CESI仿宋-GB2312" w:cs="CESI仿宋-GB2312"/>
          <w:b w:val="0"/>
          <w:bCs/>
          <w:color w:val="auto"/>
          <w:sz w:val="28"/>
          <w:szCs w:val="28"/>
        </w:rPr>
        <w:t>（项）：反映</w:t>
      </w:r>
      <w:r>
        <w:rPr>
          <w:rFonts w:hint="eastAsia" w:ascii="CESI仿宋-GB2312" w:hAnsi="CESI仿宋-GB2312" w:eastAsia="CESI仿宋-GB2312" w:cs="CESI仿宋-GB2312"/>
          <w:b w:val="0"/>
          <w:bCs/>
          <w:color w:val="auto"/>
          <w:sz w:val="28"/>
          <w:szCs w:val="28"/>
          <w:lang w:eastAsia="zh-CN"/>
        </w:rPr>
        <w:t>考古发掘及文物保护方面的支出</w:t>
      </w:r>
      <w:r>
        <w:rPr>
          <w:rFonts w:hint="eastAsia" w:ascii="CESI仿宋-GB2312" w:hAnsi="CESI仿宋-GB2312" w:eastAsia="CESI仿宋-GB2312" w:cs="CESI仿宋-GB2312"/>
          <w:b w:val="0"/>
          <w:bCs/>
          <w:color w:val="auto"/>
          <w:sz w:val="28"/>
          <w:szCs w:val="28"/>
        </w:rPr>
        <w:t>。</w:t>
      </w:r>
    </w:p>
    <w:p>
      <w:pPr>
        <w:pStyle w:val="4"/>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12.</w:t>
      </w:r>
      <w:r>
        <w:rPr>
          <w:rFonts w:hint="eastAsia" w:ascii="CESI仿宋-GB2312" w:hAnsi="CESI仿宋-GB2312" w:eastAsia="CESI仿宋-GB2312" w:cs="CESI仿宋-GB2312"/>
          <w:b w:val="0"/>
          <w:bCs/>
          <w:color w:val="auto"/>
          <w:sz w:val="28"/>
          <w:szCs w:val="28"/>
        </w:rPr>
        <w:t>文化旅游体育与传媒支出（类）文物（款）</w:t>
      </w:r>
      <w:r>
        <w:rPr>
          <w:rFonts w:hint="eastAsia" w:ascii="CESI仿宋-GB2312" w:hAnsi="CESI仿宋-GB2312" w:eastAsia="CESI仿宋-GB2312" w:cs="CESI仿宋-GB2312"/>
          <w:b w:val="0"/>
          <w:bCs/>
          <w:color w:val="auto"/>
          <w:sz w:val="28"/>
          <w:szCs w:val="28"/>
          <w:lang w:eastAsia="zh-CN"/>
        </w:rPr>
        <w:t>博物馆</w:t>
      </w:r>
      <w:r>
        <w:rPr>
          <w:rFonts w:hint="eastAsia" w:ascii="CESI仿宋-GB2312" w:hAnsi="CESI仿宋-GB2312" w:eastAsia="CESI仿宋-GB2312" w:cs="CESI仿宋-GB2312"/>
          <w:b w:val="0"/>
          <w:bCs/>
          <w:color w:val="auto"/>
          <w:sz w:val="28"/>
          <w:szCs w:val="28"/>
        </w:rPr>
        <w:t>（项）：反映</w:t>
      </w:r>
      <w:r>
        <w:rPr>
          <w:rFonts w:hint="eastAsia" w:ascii="CESI仿宋-GB2312" w:hAnsi="CESI仿宋-GB2312" w:eastAsia="CESI仿宋-GB2312" w:cs="CESI仿宋-GB2312"/>
          <w:b w:val="0"/>
          <w:bCs/>
          <w:color w:val="auto"/>
          <w:sz w:val="28"/>
          <w:szCs w:val="28"/>
          <w:lang w:eastAsia="zh-CN"/>
        </w:rPr>
        <w:t>文物系统及其它部门所属博物馆、纪念馆方面的支出</w:t>
      </w:r>
      <w:r>
        <w:rPr>
          <w:rFonts w:hint="eastAsia" w:ascii="CESI仿宋-GB2312" w:hAnsi="CESI仿宋-GB2312" w:eastAsia="CESI仿宋-GB2312" w:cs="CESI仿宋-GB2312"/>
          <w:b w:val="0"/>
          <w:bCs/>
          <w:color w:val="auto"/>
          <w:sz w:val="28"/>
          <w:szCs w:val="28"/>
        </w:rPr>
        <w:t>。</w:t>
      </w:r>
    </w:p>
    <w:p>
      <w:pPr>
        <w:pStyle w:val="4"/>
        <w:rPr>
          <w:rFonts w:hint="eastAsia" w:ascii="CESI仿宋-GB2312" w:hAnsi="CESI仿宋-GB2312" w:eastAsia="CESI仿宋-GB2312" w:cs="CESI仿宋-GB2312"/>
          <w:b w:val="0"/>
          <w:bCs/>
          <w:color w:val="auto"/>
          <w:sz w:val="28"/>
          <w:szCs w:val="28"/>
          <w:lang w:eastAsia="zh-CN"/>
        </w:rPr>
      </w:pPr>
      <w:r>
        <w:rPr>
          <w:rFonts w:hint="eastAsia" w:ascii="CESI仿宋-GB2312" w:hAnsi="CESI仿宋-GB2312" w:eastAsia="CESI仿宋-GB2312" w:cs="CESI仿宋-GB2312"/>
          <w:b w:val="0"/>
          <w:bCs/>
          <w:color w:val="auto"/>
          <w:sz w:val="28"/>
          <w:szCs w:val="28"/>
          <w:lang w:val="en-US" w:eastAsia="zh-CN"/>
        </w:rPr>
        <w:t>13.</w:t>
      </w:r>
      <w:r>
        <w:rPr>
          <w:rFonts w:hint="eastAsia" w:ascii="CESI仿宋-GB2312" w:hAnsi="CESI仿宋-GB2312" w:eastAsia="CESI仿宋-GB2312" w:cs="CESI仿宋-GB2312"/>
          <w:b w:val="0"/>
          <w:bCs/>
          <w:color w:val="auto"/>
          <w:sz w:val="28"/>
          <w:szCs w:val="28"/>
        </w:rPr>
        <w:t>文化旅游体育与传媒支出（类）文物（款）</w:t>
      </w:r>
      <w:r>
        <w:rPr>
          <w:rFonts w:hint="eastAsia" w:ascii="CESI仿宋-GB2312" w:hAnsi="CESI仿宋-GB2312" w:eastAsia="CESI仿宋-GB2312" w:cs="CESI仿宋-GB2312"/>
          <w:b w:val="0"/>
          <w:bCs/>
          <w:color w:val="auto"/>
          <w:sz w:val="28"/>
          <w:szCs w:val="28"/>
          <w:lang w:eastAsia="zh-CN"/>
        </w:rPr>
        <w:t>历史名城与古迹</w:t>
      </w:r>
      <w:r>
        <w:rPr>
          <w:rFonts w:hint="eastAsia" w:ascii="CESI仿宋-GB2312" w:hAnsi="CESI仿宋-GB2312" w:eastAsia="CESI仿宋-GB2312" w:cs="CESI仿宋-GB2312"/>
          <w:b w:val="0"/>
          <w:bCs/>
          <w:color w:val="auto"/>
          <w:sz w:val="28"/>
          <w:szCs w:val="28"/>
        </w:rPr>
        <w:t>（项）：反映</w:t>
      </w:r>
      <w:r>
        <w:rPr>
          <w:rFonts w:hint="eastAsia" w:ascii="CESI仿宋-GB2312" w:hAnsi="CESI仿宋-GB2312" w:eastAsia="CESI仿宋-GB2312" w:cs="CESI仿宋-GB2312"/>
          <w:b w:val="0"/>
          <w:bCs/>
          <w:color w:val="auto"/>
          <w:sz w:val="28"/>
          <w:szCs w:val="28"/>
          <w:lang w:eastAsia="zh-CN"/>
        </w:rPr>
        <w:t>历史名城、世界遗产规划与古迹保护等方面的支出。</w:t>
      </w:r>
    </w:p>
    <w:p>
      <w:pPr>
        <w:pStyle w:val="4"/>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14.</w:t>
      </w:r>
      <w:r>
        <w:rPr>
          <w:rFonts w:hint="eastAsia" w:ascii="CESI仿宋-GB2312" w:hAnsi="CESI仿宋-GB2312" w:eastAsia="CESI仿宋-GB2312" w:cs="CESI仿宋-GB2312"/>
          <w:b w:val="0"/>
          <w:bCs/>
          <w:color w:val="auto"/>
          <w:sz w:val="28"/>
          <w:szCs w:val="28"/>
        </w:rPr>
        <w:t>文化旅游体育与传媒支出（类）文物（款）其他文物支出（项）：反映除上述项目以外其他用于文物方面的支出。</w:t>
      </w:r>
    </w:p>
    <w:p>
      <w:pPr>
        <w:pStyle w:val="4"/>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15.</w:t>
      </w:r>
      <w:r>
        <w:rPr>
          <w:rFonts w:hint="eastAsia" w:ascii="CESI仿宋-GB2312" w:hAnsi="CESI仿宋-GB2312" w:eastAsia="CESI仿宋-GB2312" w:cs="CESI仿宋-GB2312"/>
          <w:b w:val="0"/>
          <w:bCs/>
          <w:color w:val="auto"/>
          <w:sz w:val="28"/>
          <w:szCs w:val="28"/>
        </w:rPr>
        <w:t>社会保障和就业支出（类）行政事业单位养老支出（款）</w:t>
      </w:r>
      <w:r>
        <w:rPr>
          <w:rFonts w:hint="eastAsia" w:ascii="CESI仿宋-GB2312" w:hAnsi="CESI仿宋-GB2312" w:eastAsia="CESI仿宋-GB2312" w:cs="CESI仿宋-GB2312"/>
          <w:b w:val="0"/>
          <w:bCs/>
          <w:color w:val="auto"/>
          <w:sz w:val="28"/>
          <w:szCs w:val="28"/>
          <w:lang w:eastAsia="zh-CN"/>
        </w:rPr>
        <w:t>行政</w:t>
      </w:r>
      <w:r>
        <w:rPr>
          <w:rFonts w:hint="eastAsia" w:ascii="CESI仿宋-GB2312" w:hAnsi="CESI仿宋-GB2312" w:eastAsia="CESI仿宋-GB2312" w:cs="CESI仿宋-GB2312"/>
          <w:b w:val="0"/>
          <w:bCs/>
          <w:color w:val="auto"/>
          <w:sz w:val="28"/>
          <w:szCs w:val="28"/>
        </w:rPr>
        <w:t>单位离退休（项）：反映</w:t>
      </w:r>
      <w:r>
        <w:rPr>
          <w:rFonts w:hint="eastAsia" w:ascii="CESI仿宋-GB2312" w:hAnsi="CESI仿宋-GB2312" w:eastAsia="CESI仿宋-GB2312" w:cs="CESI仿宋-GB2312"/>
          <w:b w:val="0"/>
          <w:bCs/>
          <w:color w:val="auto"/>
          <w:sz w:val="28"/>
          <w:szCs w:val="28"/>
          <w:lang w:eastAsia="zh-CN"/>
        </w:rPr>
        <w:t>行政</w:t>
      </w:r>
      <w:r>
        <w:rPr>
          <w:rFonts w:hint="eastAsia" w:ascii="CESI仿宋-GB2312" w:hAnsi="CESI仿宋-GB2312" w:eastAsia="CESI仿宋-GB2312" w:cs="CESI仿宋-GB2312"/>
          <w:b w:val="0"/>
          <w:bCs/>
          <w:color w:val="auto"/>
          <w:sz w:val="28"/>
          <w:szCs w:val="28"/>
        </w:rPr>
        <w:t>单位</w:t>
      </w:r>
      <w:r>
        <w:rPr>
          <w:rFonts w:hint="eastAsia" w:ascii="CESI仿宋-GB2312" w:hAnsi="CESI仿宋-GB2312" w:eastAsia="CESI仿宋-GB2312" w:cs="CESI仿宋-GB2312"/>
          <w:b w:val="0"/>
          <w:bCs/>
          <w:color w:val="auto"/>
          <w:sz w:val="28"/>
          <w:szCs w:val="28"/>
          <w:lang w:eastAsia="zh-CN"/>
        </w:rPr>
        <w:t>（包括实行公务员管理的事业单位）</w:t>
      </w:r>
      <w:r>
        <w:rPr>
          <w:rFonts w:hint="eastAsia" w:ascii="CESI仿宋-GB2312" w:hAnsi="CESI仿宋-GB2312" w:eastAsia="CESI仿宋-GB2312" w:cs="CESI仿宋-GB2312"/>
          <w:b w:val="0"/>
          <w:bCs/>
          <w:color w:val="auto"/>
          <w:sz w:val="28"/>
          <w:szCs w:val="28"/>
        </w:rPr>
        <w:t>开支的离退休经费。</w:t>
      </w:r>
    </w:p>
    <w:p>
      <w:pPr>
        <w:pStyle w:val="4"/>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16.</w:t>
      </w:r>
      <w:r>
        <w:rPr>
          <w:rFonts w:hint="eastAsia" w:ascii="CESI仿宋-GB2312" w:hAnsi="CESI仿宋-GB2312" w:eastAsia="CESI仿宋-GB2312" w:cs="CESI仿宋-GB2312"/>
          <w:b w:val="0"/>
          <w:bCs/>
          <w:color w:val="auto"/>
          <w:sz w:val="28"/>
          <w:szCs w:val="28"/>
        </w:rPr>
        <w:t>社会保障和就业支出（类）行政事业单位养老支出（款）事业单位离退休（项）：反映事业单位开支的离退休经费。</w:t>
      </w:r>
    </w:p>
    <w:p>
      <w:pPr>
        <w:pStyle w:val="4"/>
        <w:rPr>
          <w:rFonts w:hint="eastAsia" w:ascii="CESI仿宋-GB2312" w:hAnsi="CESI仿宋-GB2312" w:eastAsia="CESI仿宋-GB2312" w:cs="CESI仿宋-GB2312"/>
          <w:b w:val="0"/>
          <w:bCs/>
          <w:color w:val="auto"/>
          <w:sz w:val="28"/>
          <w:szCs w:val="28"/>
        </w:rPr>
      </w:pPr>
      <w:r>
        <w:rPr>
          <w:rFonts w:hint="eastAsia" w:ascii="CESI仿宋-GB2312" w:hAnsi="CESI仿宋-GB2312" w:eastAsia="CESI仿宋-GB2312" w:cs="CESI仿宋-GB2312"/>
          <w:b w:val="0"/>
          <w:bCs/>
          <w:color w:val="auto"/>
          <w:sz w:val="28"/>
          <w:szCs w:val="28"/>
          <w:lang w:val="en-US" w:eastAsia="zh-CN"/>
        </w:rPr>
        <w:t>17.</w:t>
      </w:r>
      <w:r>
        <w:rPr>
          <w:rFonts w:hint="eastAsia" w:ascii="CESI仿宋-GB2312" w:hAnsi="CESI仿宋-GB2312" w:eastAsia="CESI仿宋-GB2312" w:cs="CESI仿宋-GB2312"/>
          <w:b w:val="0"/>
          <w:bCs/>
          <w:color w:val="auto"/>
          <w:sz w:val="28"/>
          <w:szCs w:val="28"/>
        </w:rPr>
        <w:t>社会保障和就业支出（类）行政事业单位养老支出（款）</w:t>
      </w:r>
      <w:r>
        <w:rPr>
          <w:rFonts w:hint="eastAsia" w:ascii="CESI仿宋-GB2312" w:hAnsi="CESI仿宋-GB2312" w:eastAsia="CESI仿宋-GB2312" w:cs="CESI仿宋-GB2312"/>
          <w:b w:val="0"/>
          <w:bCs/>
          <w:color w:val="auto"/>
          <w:sz w:val="28"/>
          <w:szCs w:val="28"/>
          <w:lang w:eastAsia="zh-CN"/>
        </w:rPr>
        <w:t>其它行政</w:t>
      </w:r>
      <w:r>
        <w:rPr>
          <w:rFonts w:hint="eastAsia" w:ascii="CESI仿宋-GB2312" w:hAnsi="CESI仿宋-GB2312" w:eastAsia="CESI仿宋-GB2312" w:cs="CESI仿宋-GB2312"/>
          <w:b w:val="0"/>
          <w:bCs/>
          <w:color w:val="auto"/>
          <w:sz w:val="28"/>
          <w:szCs w:val="28"/>
        </w:rPr>
        <w:t>事业单位</w:t>
      </w:r>
      <w:r>
        <w:rPr>
          <w:rFonts w:hint="eastAsia" w:ascii="CESI仿宋-GB2312" w:hAnsi="CESI仿宋-GB2312" w:eastAsia="CESI仿宋-GB2312" w:cs="CESI仿宋-GB2312"/>
          <w:b w:val="0"/>
          <w:bCs/>
          <w:color w:val="auto"/>
          <w:sz w:val="28"/>
          <w:szCs w:val="28"/>
          <w:lang w:eastAsia="zh-CN"/>
        </w:rPr>
        <w:t>养老支出</w:t>
      </w:r>
      <w:r>
        <w:rPr>
          <w:rFonts w:hint="eastAsia" w:ascii="CESI仿宋-GB2312" w:hAnsi="CESI仿宋-GB2312" w:eastAsia="CESI仿宋-GB2312" w:cs="CESI仿宋-GB2312"/>
          <w:b w:val="0"/>
          <w:bCs/>
          <w:color w:val="auto"/>
          <w:sz w:val="28"/>
          <w:szCs w:val="28"/>
        </w:rPr>
        <w:t>（项）：反映</w:t>
      </w:r>
      <w:r>
        <w:rPr>
          <w:rFonts w:hint="eastAsia" w:ascii="CESI仿宋-GB2312" w:hAnsi="CESI仿宋-GB2312" w:eastAsia="CESI仿宋-GB2312" w:cs="CESI仿宋-GB2312"/>
          <w:b w:val="0"/>
          <w:bCs/>
          <w:color w:val="auto"/>
          <w:sz w:val="28"/>
          <w:szCs w:val="28"/>
          <w:lang w:eastAsia="zh-CN"/>
        </w:rPr>
        <w:t>除上述项目以外用于行政</w:t>
      </w:r>
      <w:r>
        <w:rPr>
          <w:rFonts w:hint="eastAsia" w:ascii="CESI仿宋-GB2312" w:hAnsi="CESI仿宋-GB2312" w:eastAsia="CESI仿宋-GB2312" w:cs="CESI仿宋-GB2312"/>
          <w:b w:val="0"/>
          <w:bCs/>
          <w:color w:val="auto"/>
          <w:sz w:val="28"/>
          <w:szCs w:val="28"/>
        </w:rPr>
        <w:t>事业单位</w:t>
      </w:r>
      <w:r>
        <w:rPr>
          <w:rFonts w:hint="eastAsia" w:ascii="CESI仿宋-GB2312" w:hAnsi="CESI仿宋-GB2312" w:eastAsia="CESI仿宋-GB2312" w:cs="CESI仿宋-GB2312"/>
          <w:b w:val="0"/>
          <w:bCs/>
          <w:color w:val="auto"/>
          <w:sz w:val="28"/>
          <w:szCs w:val="28"/>
          <w:lang w:eastAsia="zh-CN"/>
        </w:rPr>
        <w:t>养老方面的支出</w:t>
      </w:r>
      <w:r>
        <w:rPr>
          <w:rFonts w:hint="eastAsia" w:ascii="CESI仿宋-GB2312" w:hAnsi="CESI仿宋-GB2312" w:eastAsia="CESI仿宋-GB2312" w:cs="CESI仿宋-GB2312"/>
          <w:b w:val="0"/>
          <w:bCs/>
          <w:color w:val="auto"/>
          <w:sz w:val="28"/>
          <w:szCs w:val="28"/>
        </w:rPr>
        <w:t>。</w:t>
      </w:r>
    </w:p>
    <w:p>
      <w:pPr>
        <w:pStyle w:val="4"/>
        <w:rPr>
          <w:rFonts w:hint="eastAsia" w:ascii="仿宋_GB2312" w:eastAsia="仿宋_GB2312"/>
          <w:color w:val="auto"/>
          <w:sz w:val="28"/>
          <w:szCs w:val="28"/>
          <w:lang w:val="en-US" w:eastAsia="zh-CN"/>
        </w:rPr>
      </w:pPr>
      <w:r>
        <w:rPr>
          <w:rFonts w:hint="eastAsia" w:ascii="CESI仿宋-GB2312" w:hAnsi="CESI仿宋-GB2312" w:eastAsia="CESI仿宋-GB2312" w:cs="CESI仿宋-GB2312"/>
          <w:b w:val="0"/>
          <w:bCs/>
          <w:color w:val="auto"/>
          <w:sz w:val="28"/>
          <w:szCs w:val="28"/>
          <w:lang w:val="en-US" w:eastAsia="zh-CN"/>
        </w:rPr>
        <w:t>18.灾害防治及应急管理支出（类）自然灾害救灾及恢复重建支出（款）自然灾害救灾补助（项）：放映用于应对重大自然灾害应急救援和受灾群众救灾的支出。</w:t>
      </w:r>
    </w:p>
    <w:p>
      <w:pPr>
        <w:jc w:val="both"/>
        <w:rPr>
          <w:rFonts w:hint="eastAsia" w:ascii="黑体" w:eastAsia="黑体"/>
          <w:sz w:val="32"/>
          <w:szCs w:val="32"/>
        </w:rPr>
      </w:pPr>
      <w:bookmarkStart w:id="0" w:name="_GoBack"/>
      <w:bookmarkEnd w:id="0"/>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lang w:eastAsia="zh-CN"/>
        </w:rPr>
      </w:pPr>
      <w:r>
        <w:rPr>
          <w:rFonts w:hint="eastAsia" w:ascii="黑体" w:eastAsia="黑体"/>
          <w:sz w:val="28"/>
          <w:szCs w:val="28"/>
          <w:highlight w:val="none"/>
        </w:rPr>
        <w:t>部门整体绩效评价报告</w:t>
      </w:r>
      <w:r>
        <w:rPr>
          <w:rFonts w:hint="eastAsia" w:ascii="黑体" w:eastAsia="黑体"/>
          <w:sz w:val="28"/>
          <w:szCs w:val="28"/>
          <w:lang w:eastAsia="zh-CN"/>
        </w:rPr>
        <w:t>（详见附件）</w:t>
      </w:r>
    </w:p>
    <w:p>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p>
    <w:p>
      <w:pPr>
        <w:numPr>
          <w:ilvl w:val="0"/>
          <w:numId w:val="2"/>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numPr>
          <w:ilvl w:val="0"/>
          <w:numId w:val="2"/>
        </w:numPr>
        <w:ind w:firstLine="560" w:firstLineChars="200"/>
        <w:rPr>
          <w:rFonts w:hint="eastAsia" w:ascii="黑体" w:eastAsia="黑体"/>
          <w:sz w:val="28"/>
          <w:szCs w:val="28"/>
          <w:lang w:eastAsia="zh-CN"/>
        </w:rPr>
      </w:pP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CESI仿宋-GB2312">
    <w:altName w:val="方正仿宋_GBK"/>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7BF83ADA"/>
    <w:multiLevelType w:val="singleLevel"/>
    <w:tmpl w:val="7BF83ADA"/>
    <w:lvl w:ilvl="0" w:tentative="0">
      <w:start w:val="5"/>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7AF952D"/>
    <w:rsid w:val="29EF086F"/>
    <w:rsid w:val="2DFEF794"/>
    <w:rsid w:val="2EB796FA"/>
    <w:rsid w:val="2EFFE297"/>
    <w:rsid w:val="301437CA"/>
    <w:rsid w:val="349D1F0A"/>
    <w:rsid w:val="34DD0473"/>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CA3CFDA"/>
    <w:rsid w:val="5EFB1759"/>
    <w:rsid w:val="5F7755A8"/>
    <w:rsid w:val="60A54109"/>
    <w:rsid w:val="61D01CDF"/>
    <w:rsid w:val="64C0607C"/>
    <w:rsid w:val="65756C86"/>
    <w:rsid w:val="674D385B"/>
    <w:rsid w:val="676F09E1"/>
    <w:rsid w:val="7357290B"/>
    <w:rsid w:val="77C9046A"/>
    <w:rsid w:val="798524E4"/>
    <w:rsid w:val="7A7423B0"/>
    <w:rsid w:val="7A7F1C49"/>
    <w:rsid w:val="7AFE85D1"/>
    <w:rsid w:val="7B5B7AE6"/>
    <w:rsid w:val="7B7B6628"/>
    <w:rsid w:val="7BA7071E"/>
    <w:rsid w:val="7BDF6DA8"/>
    <w:rsid w:val="7BFECCC5"/>
    <w:rsid w:val="7C7EDC1A"/>
    <w:rsid w:val="7CCED98D"/>
    <w:rsid w:val="7D08410F"/>
    <w:rsid w:val="7DB96DED"/>
    <w:rsid w:val="7DD3AD81"/>
    <w:rsid w:val="7F330E1F"/>
    <w:rsid w:val="7F7FE70F"/>
    <w:rsid w:val="7FBBA4CB"/>
    <w:rsid w:val="7FFF772F"/>
    <w:rsid w:val="95F35EF6"/>
    <w:rsid w:val="9BFFD860"/>
    <w:rsid w:val="9F2F5DA6"/>
    <w:rsid w:val="AC5F73DE"/>
    <w:rsid w:val="B5DDD2C8"/>
    <w:rsid w:val="B77A8805"/>
    <w:rsid w:val="B9DFABD9"/>
    <w:rsid w:val="BC0D83FC"/>
    <w:rsid w:val="BE67303D"/>
    <w:rsid w:val="BF3BDEFB"/>
    <w:rsid w:val="BF71C1CF"/>
    <w:rsid w:val="C6DEDAA3"/>
    <w:rsid w:val="C75F6086"/>
    <w:rsid w:val="C7F7ED2D"/>
    <w:rsid w:val="CFAF854E"/>
    <w:rsid w:val="D6EECB72"/>
    <w:rsid w:val="D8D7928E"/>
    <w:rsid w:val="D8FE3136"/>
    <w:rsid w:val="DBEB0EA4"/>
    <w:rsid w:val="DDDE60B7"/>
    <w:rsid w:val="DE9F6A22"/>
    <w:rsid w:val="DF4FCE6A"/>
    <w:rsid w:val="DFBEF397"/>
    <w:rsid w:val="E4FED278"/>
    <w:rsid w:val="E7837148"/>
    <w:rsid w:val="ECFF5EB1"/>
    <w:rsid w:val="EDAA365C"/>
    <w:rsid w:val="EDADFC12"/>
    <w:rsid w:val="EFF66610"/>
    <w:rsid w:val="F2FD229B"/>
    <w:rsid w:val="F7F709E9"/>
    <w:rsid w:val="F7FF3690"/>
    <w:rsid w:val="F9BD3900"/>
    <w:rsid w:val="FBFE60ED"/>
    <w:rsid w:val="FC8B9876"/>
    <w:rsid w:val="FEDFF218"/>
    <w:rsid w:val="FEDFFFFF"/>
    <w:rsid w:val="FF6FC386"/>
    <w:rsid w:val="FFD74867"/>
    <w:rsid w:val="FFFC5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3">
    <w:name w:val="heading 3"/>
    <w:basedOn w:val="1"/>
    <w:next w:val="1"/>
    <w:qFormat/>
    <w:uiPriority w:val="0"/>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3"/>
              <c:layout>
                <c:manualLayout>
                  <c:x val="0.0141126119704703"/>
                  <c:y val="-0.075524032334721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41531205646733"/>
                  <c:y val="-0.0059848995286127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39371806788959"/>
                  <c:y val="-0.034615975418854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121492.07</c:v>
                </c:pt>
                <c:pt idx="1">
                  <c:v>0</c:v>
                </c:pt>
                <c:pt idx="2">
                  <c:v>27266.74</c:v>
                </c:pt>
                <c:pt idx="3">
                  <c:v>0</c:v>
                </c:pt>
                <c:pt idx="4">
                  <c:v>0</c:v>
                </c:pt>
                <c:pt idx="5">
                  <c:v>1124.62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13275372940115"/>
                  <c:y val="0.0606049213885656"/>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37916666666667"/>
                      <c:h val="0.0671296296296296"/>
                    </c:manualLayout>
                  </c15:layout>
                </c:ext>
              </c:extLst>
            </c:dLbl>
            <c:dLbl>
              <c:idx val="3"/>
              <c:layout>
                <c:manualLayout>
                  <c:x val="-0.0729166666666667"/>
                  <c:y val="0.013888888888888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28572102691944"/>
                  <c:y val="0.0313445628433956"/>
                </c:manualLayout>
              </c:layout>
              <c:dLblPos val="bestFit"/>
              <c:showLegendKey val="0"/>
              <c:showVal val="0"/>
              <c:showCatName val="0"/>
              <c:showSerName val="0"/>
              <c:showPercent val="1"/>
              <c:showBubbleSize val="0"/>
              <c:extLst>
                <c:ext xmlns:c15="http://schemas.microsoft.com/office/drawing/2012/chart" uri="{CE6537A1-D6FC-4f65-9D91-7224C49458BB}">
                  <c15:layout>
                    <c:manualLayout>
                      <c:w val="0.10125"/>
                      <c:h val="0.0719907407407407"/>
                    </c:manualLayout>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48954.37</c:v>
                </c:pt>
                <c:pt idx="1">
                  <c:v>98170.44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21</TotalTime>
  <ScaleCrop>false</ScaleCrop>
  <LinksUpToDate>false</LinksUpToDate>
  <CharactersWithSpaces>5779</CharactersWithSpaces>
  <Application>WPS Office_11.8.2.12185_F1E327BC-269C-435d-A152-05C5408002CA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fuying</cp:lastModifiedBy>
  <cp:lastPrinted>2025-08-22T19:09:00Z</cp:lastPrinted>
  <dcterms:modified xsi:type="dcterms:W3CDTF">2025-08-25T16:02:16Z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2052-11.8.2.12185</vt:lpwstr>
  </property>
  <property fmtid="{D5CDD505-2E9C-101B-9397-08002B2CF9AE}" pid="3" name="ICV">
    <vt:lpwstr>1F446FB276F60C9AA4ADA568B017BDEE</vt:lpwstr>
  </property>
  <property fmtid="{D5CDD505-2E9C-101B-9397-08002B2CF9AE}" pid="4" name="KSOTemplateDocerSaveRecord">
    <vt:lpwstr>eyJoZGlkIjoiMzFhMDlmODM4NDM3ZTUzZTJhOWRjZWIxNmVkMjQxNTMiLCJ1c2VySWQiOiIxMTQwMjc4MDE0In0=</vt:lpwstr>
  </property>
</Properties>
</file>