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720" w:lineRule="exact"/>
        <w:jc w:val="center"/>
        <w:textAlignment w:val="auto"/>
        <w:rPr>
          <w:rFonts w:hint="eastAsia" w:ascii="方正小标宋_GBK" w:hAnsi="方正小标宋_GBK" w:eastAsia="方正小标宋_GBK" w:cs="方正小标宋_GBK"/>
          <w:b w:val="0"/>
          <w:bCs/>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rPr>
        <w:t>2024年度中央对北京国家文物保护资金</w:t>
      </w:r>
    </w:p>
    <w:p>
      <w:pPr>
        <w:keepNext w:val="0"/>
        <w:keepLines w:val="0"/>
        <w:pageBreakBefore w:val="0"/>
        <w:widowControl w:val="0"/>
        <w:kinsoku/>
        <w:wordWrap/>
        <w:overflowPunct/>
        <w:topLinePunct w:val="0"/>
        <w:autoSpaceDE/>
        <w:autoSpaceDN/>
        <w:bidi w:val="0"/>
        <w:adjustRightInd w:val="0"/>
        <w:snapToGrid w:val="0"/>
        <w:spacing w:line="720" w:lineRule="exact"/>
        <w:jc w:val="center"/>
        <w:textAlignment w:val="auto"/>
        <w:rPr>
          <w:rFonts w:hint="eastAsia" w:ascii="方正小标宋_GBK" w:hAnsi="方正小标宋_GBK" w:eastAsia="方正小标宋_GBK" w:cs="方正小标宋_GBK"/>
          <w:b w:val="0"/>
          <w:bCs/>
          <w:color w:val="auto"/>
          <w:sz w:val="44"/>
          <w:szCs w:val="44"/>
          <w:highlight w:val="none"/>
        </w:rPr>
      </w:pPr>
      <w:r>
        <w:rPr>
          <w:rFonts w:hint="eastAsia" w:ascii="方正小标宋_GBK" w:hAnsi="方正小标宋_GBK" w:eastAsia="方正小标宋_GBK" w:cs="方正小标宋_GBK"/>
          <w:b w:val="0"/>
          <w:bCs/>
          <w:color w:val="auto"/>
          <w:sz w:val="44"/>
          <w:szCs w:val="44"/>
          <w:highlight w:val="none"/>
        </w:rPr>
        <w:t>转移支付预算执行情况绩效自评报告</w:t>
      </w:r>
    </w:p>
    <w:p>
      <w:pP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hint="eastAsia" w:ascii="Times New Roman" w:hAnsi="Times New Roman" w:eastAsia="黑体" w:cs="Times New Roman"/>
          <w:b w:val="0"/>
          <w:bCs/>
          <w:color w:val="auto"/>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hint="eastAsia" w:ascii="Times New Roman" w:hAnsi="Times New Roman" w:eastAsia="黑体" w:cs="Times New Roman"/>
          <w:b w:val="0"/>
          <w:bCs/>
          <w:color w:val="auto"/>
          <w:sz w:val="32"/>
          <w:szCs w:val="32"/>
          <w:highlight w:val="none"/>
        </w:rPr>
      </w:pPr>
      <w:r>
        <w:rPr>
          <w:rFonts w:hint="eastAsia" w:ascii="Times New Roman" w:hAnsi="Times New Roman" w:eastAsia="黑体" w:cs="Times New Roman"/>
          <w:b w:val="0"/>
          <w:bCs/>
          <w:color w:val="auto"/>
          <w:sz w:val="32"/>
          <w:szCs w:val="32"/>
          <w:highlight w:val="none"/>
        </w:rPr>
        <w:t>一、转移支付基本情况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Times New Roman" w:hAnsi="Times New Roman" w:eastAsia="黑体" w:cs="Times New Roman"/>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（一）国家文物保护资金转移支付概况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中央下达国家文物保护转移支付预算和绩效目标情况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根据《财政部关于提前下达202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年国家文物保护资金预算的通知》（财</w:t>
      </w:r>
      <w:r>
        <w:rPr>
          <w:rFonts w:hint="eastAsia" w:ascii="方正仿宋_GBK" w:hAnsi="方正仿宋_GBK" w:eastAsia="方正仿宋_GBK" w:cs="方正仿宋_GBK"/>
          <w:color w:val="auto"/>
          <w:sz w:val="32"/>
          <w:szCs w:val="32"/>
          <w:highlight w:val="none"/>
          <w:lang w:val="en-US" w:eastAsia="zh-CN"/>
        </w:rPr>
        <w:t>教</w:t>
      </w:r>
      <w:r>
        <w:rPr>
          <w:rFonts w:hint="eastAsia" w:ascii="方正仿宋_GBK" w:hAnsi="方正仿宋_GBK" w:eastAsia="方正仿宋_GBK" w:cs="方正仿宋_GBK"/>
          <w:color w:val="auto"/>
          <w:sz w:val="32"/>
          <w:szCs w:val="32"/>
          <w:highlight w:val="none"/>
        </w:rPr>
        <w:t>〔202</w:t>
      </w: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val="en-US" w:eastAsia="zh-CN"/>
        </w:rPr>
        <w:t>187</w:t>
      </w:r>
      <w:r>
        <w:rPr>
          <w:rFonts w:hint="eastAsia" w:ascii="方正仿宋_GBK" w:hAnsi="方正仿宋_GBK" w:eastAsia="方正仿宋_GBK" w:cs="方正仿宋_GBK"/>
          <w:color w:val="auto"/>
          <w:sz w:val="32"/>
          <w:szCs w:val="32"/>
          <w:highlight w:val="none"/>
        </w:rPr>
        <w:t>号）</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《财政部关于下达202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年国家文物保护资金预算的通知》（财</w:t>
      </w:r>
      <w:r>
        <w:rPr>
          <w:rFonts w:hint="eastAsia" w:ascii="方正仿宋_GBK" w:hAnsi="方正仿宋_GBK" w:eastAsia="方正仿宋_GBK" w:cs="方正仿宋_GBK"/>
          <w:color w:val="auto"/>
          <w:sz w:val="32"/>
          <w:szCs w:val="32"/>
          <w:highlight w:val="none"/>
          <w:lang w:val="en-US" w:eastAsia="zh-CN"/>
        </w:rPr>
        <w:t>教</w:t>
      </w:r>
      <w:r>
        <w:rPr>
          <w:rFonts w:hint="eastAsia" w:ascii="方正仿宋_GBK" w:hAnsi="方正仿宋_GBK" w:eastAsia="方正仿宋_GBK" w:cs="方正仿宋_GBK"/>
          <w:color w:val="auto"/>
          <w:sz w:val="32"/>
          <w:szCs w:val="32"/>
          <w:highlight w:val="none"/>
        </w:rPr>
        <w:t>〔202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val="en-US" w:eastAsia="zh-CN"/>
        </w:rPr>
        <w:t>57</w:t>
      </w:r>
      <w:r>
        <w:rPr>
          <w:rFonts w:hint="eastAsia" w:ascii="方正仿宋_GBK" w:hAnsi="方正仿宋_GBK" w:eastAsia="方正仿宋_GBK" w:cs="方正仿宋_GBK"/>
          <w:color w:val="auto"/>
          <w:sz w:val="32"/>
          <w:szCs w:val="32"/>
          <w:highlight w:val="none"/>
        </w:rPr>
        <w:t>号），202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年度中央</w:t>
      </w:r>
      <w:r>
        <w:rPr>
          <w:rFonts w:hint="eastAsia" w:ascii="方正仿宋_GBK" w:hAnsi="方正仿宋_GBK" w:eastAsia="方正仿宋_GBK" w:cs="方正仿宋_GBK"/>
          <w:color w:val="auto"/>
          <w:sz w:val="32"/>
          <w:szCs w:val="32"/>
          <w:highlight w:val="none"/>
          <w:lang w:val="en-US" w:eastAsia="zh-CN"/>
        </w:rPr>
        <w:t>下达</w:t>
      </w:r>
      <w:r>
        <w:rPr>
          <w:rFonts w:hint="eastAsia" w:ascii="方正仿宋_GBK" w:hAnsi="方正仿宋_GBK" w:eastAsia="方正仿宋_GBK" w:cs="方正仿宋_GBK"/>
          <w:color w:val="auto"/>
          <w:sz w:val="32"/>
          <w:szCs w:val="32"/>
          <w:highlight w:val="none"/>
          <w:lang w:eastAsia="zh-CN"/>
        </w:rPr>
        <w:t>北京市</w:t>
      </w:r>
      <w:r>
        <w:rPr>
          <w:rFonts w:hint="eastAsia" w:ascii="方正仿宋_GBK" w:hAnsi="方正仿宋_GBK" w:eastAsia="方正仿宋_GBK" w:cs="方正仿宋_GBK"/>
          <w:color w:val="auto"/>
          <w:sz w:val="32"/>
          <w:szCs w:val="32"/>
          <w:highlight w:val="none"/>
        </w:rPr>
        <w:t>国家文物保护资金（以下简称</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文保</w:t>
      </w:r>
      <w:r>
        <w:rPr>
          <w:rFonts w:hint="eastAsia" w:ascii="方正仿宋_GBK" w:hAnsi="方正仿宋_GBK" w:eastAsia="方正仿宋_GBK" w:cs="方正仿宋_GBK"/>
          <w:color w:val="auto"/>
          <w:sz w:val="32"/>
          <w:szCs w:val="32"/>
          <w:highlight w:val="none"/>
        </w:rPr>
        <w:t>资金</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val="en-US" w:eastAsia="zh-CN"/>
        </w:rPr>
        <w:t>11,242.00</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val="en-US" w:eastAsia="zh-CN"/>
        </w:rPr>
        <w:t>结合北京市实际，设置了文保</w:t>
      </w:r>
      <w:r>
        <w:rPr>
          <w:rFonts w:hint="eastAsia" w:ascii="方正仿宋_GBK" w:hAnsi="方正仿宋_GBK" w:eastAsia="方正仿宋_GBK" w:cs="方正仿宋_GBK"/>
          <w:color w:val="auto"/>
          <w:sz w:val="32"/>
          <w:szCs w:val="32"/>
          <w:highlight w:val="none"/>
        </w:rPr>
        <w:t>资金</w:t>
      </w:r>
      <w:r>
        <w:rPr>
          <w:rFonts w:hint="eastAsia" w:ascii="方正仿宋_GBK" w:hAnsi="方正仿宋_GBK" w:eastAsia="方正仿宋_GBK" w:cs="方正仿宋_GBK"/>
          <w:color w:val="auto"/>
          <w:sz w:val="32"/>
          <w:szCs w:val="32"/>
          <w:highlight w:val="none"/>
          <w:lang w:val="en-US" w:eastAsia="zh-CN"/>
        </w:rPr>
        <w:t>区域绩效目标，总体绩效目标为：加强文物保护利用，提升文物安全水平，传承中华优秀传统文化，促进文物事业与经济社会和谐发展。整体绩效目标随预算一并下达。</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方正仿宋_GBK" w:hAnsi="方正仿宋_GBK" w:eastAsia="方正仿宋_GBK" w:cs="方正仿宋_GBK"/>
          <w:b w:val="0"/>
          <w:bCs w:val="0"/>
          <w:color w:val="auto"/>
          <w:sz w:val="32"/>
          <w:szCs w:val="32"/>
          <w:highlight w:val="none"/>
        </w:rPr>
      </w:pPr>
      <w:r>
        <w:rPr>
          <w:rFonts w:hint="eastAsia" w:ascii="方正楷体_GBK" w:hAnsi="方正楷体_GBK" w:eastAsia="方正楷体_GBK" w:cs="方正楷体_GBK"/>
          <w:b w:val="0"/>
          <w:bCs w:val="0"/>
          <w:color w:val="auto"/>
          <w:sz w:val="32"/>
          <w:szCs w:val="32"/>
          <w:highlight w:val="none"/>
          <w:lang w:val="en-US" w:eastAsia="zh-CN"/>
        </w:rPr>
        <w:t>2.</w:t>
      </w:r>
      <w:r>
        <w:rPr>
          <w:rFonts w:hint="eastAsia" w:ascii="方正仿宋_GBK" w:hAnsi="方正仿宋_GBK" w:eastAsia="方正仿宋_GBK" w:cs="方正仿宋_GBK"/>
          <w:b w:val="0"/>
          <w:bCs w:val="0"/>
          <w:color w:val="auto"/>
          <w:sz w:val="32"/>
          <w:szCs w:val="32"/>
          <w:highlight w:val="none"/>
        </w:rPr>
        <w:t>资金安排、分解下达预算情况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根据《财政部国家文物局关于印发</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国家文物保护资金管理办法</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的通知》（财教〔2023〕279号）</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以下简称“《国家文物保护资金管理办法》”</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rPr>
        <w:t>的要求，结合</w:t>
      </w:r>
      <w:r>
        <w:rPr>
          <w:rFonts w:hint="eastAsia" w:ascii="方正仿宋_GBK" w:hAnsi="方正仿宋_GBK" w:eastAsia="方正仿宋_GBK" w:cs="方正仿宋_GBK"/>
          <w:color w:val="auto"/>
          <w:sz w:val="32"/>
          <w:szCs w:val="32"/>
          <w:highlight w:val="none"/>
          <w:lang w:eastAsia="zh-CN"/>
        </w:rPr>
        <w:t>北京市</w:t>
      </w:r>
      <w:r>
        <w:rPr>
          <w:rFonts w:hint="eastAsia" w:ascii="方正仿宋_GBK" w:hAnsi="方正仿宋_GBK" w:eastAsia="方正仿宋_GBK" w:cs="方正仿宋_GBK"/>
          <w:color w:val="auto"/>
          <w:sz w:val="32"/>
          <w:szCs w:val="32"/>
          <w:highlight w:val="none"/>
        </w:rPr>
        <w:t>文物保护工作的实际情况，202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年度</w:t>
      </w:r>
      <w:r>
        <w:rPr>
          <w:rFonts w:hint="eastAsia" w:ascii="方正仿宋_GBK" w:hAnsi="方正仿宋_GBK" w:eastAsia="方正仿宋_GBK" w:cs="方正仿宋_GBK"/>
          <w:color w:val="auto"/>
          <w:sz w:val="32"/>
          <w:szCs w:val="32"/>
          <w:highlight w:val="none"/>
          <w:lang w:eastAsia="zh-CN"/>
        </w:rPr>
        <w:t>北京市</w:t>
      </w:r>
      <w:r>
        <w:rPr>
          <w:rFonts w:hint="eastAsia" w:ascii="方正仿宋_GBK" w:hAnsi="方正仿宋_GBK" w:eastAsia="方正仿宋_GBK" w:cs="方正仿宋_GBK"/>
          <w:color w:val="auto"/>
          <w:sz w:val="32"/>
          <w:szCs w:val="32"/>
          <w:highlight w:val="none"/>
          <w:lang w:val="en-US" w:eastAsia="zh-CN"/>
        </w:rPr>
        <w:t>支持</w:t>
      </w:r>
      <w:r>
        <w:rPr>
          <w:rFonts w:hint="eastAsia" w:ascii="方正仿宋_GBK" w:hAnsi="方正仿宋_GBK" w:eastAsia="方正仿宋_GBK" w:cs="方正仿宋_GBK"/>
          <w:color w:val="auto"/>
          <w:sz w:val="32"/>
          <w:szCs w:val="32"/>
          <w:highlight w:val="none"/>
        </w:rPr>
        <w:t>文物保护项目</w:t>
      </w:r>
      <w:r>
        <w:rPr>
          <w:rFonts w:hint="eastAsia" w:ascii="方正仿宋_GBK" w:hAnsi="方正仿宋_GBK" w:eastAsia="方正仿宋_GBK" w:cs="方正仿宋_GBK"/>
          <w:color w:val="auto"/>
          <w:sz w:val="32"/>
          <w:szCs w:val="32"/>
          <w:highlight w:val="none"/>
          <w:lang w:val="en-US" w:eastAsia="zh-CN"/>
        </w:rPr>
        <w:t>24</w:t>
      </w:r>
      <w:r>
        <w:rPr>
          <w:rFonts w:hint="eastAsia" w:ascii="方正仿宋_GBK" w:hAnsi="方正仿宋_GBK" w:eastAsia="方正仿宋_GBK" w:cs="方正仿宋_GBK"/>
          <w:color w:val="auto"/>
          <w:sz w:val="32"/>
          <w:szCs w:val="32"/>
          <w:highlight w:val="none"/>
        </w:rPr>
        <w:t>个，分解下达</w:t>
      </w:r>
      <w:r>
        <w:rPr>
          <w:rFonts w:hint="eastAsia" w:ascii="方正仿宋_GBK" w:hAnsi="方正仿宋_GBK" w:eastAsia="方正仿宋_GBK" w:cs="方正仿宋_GBK"/>
          <w:color w:val="auto"/>
          <w:sz w:val="32"/>
          <w:szCs w:val="32"/>
          <w:highlight w:val="none"/>
          <w:lang w:val="en-US" w:eastAsia="zh-CN"/>
        </w:rPr>
        <w:t>文保资金11,242.00</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。其中：</w:t>
      </w:r>
      <w:r>
        <w:rPr>
          <w:rFonts w:hint="eastAsia" w:ascii="方正仿宋_GBK" w:hAnsi="方正仿宋_GBK" w:eastAsia="方正仿宋_GBK" w:cs="方正仿宋_GBK"/>
          <w:color w:val="auto"/>
          <w:sz w:val="32"/>
          <w:szCs w:val="32"/>
          <w:highlight w:val="none"/>
          <w:lang w:val="en-US" w:eastAsia="zh-CN"/>
        </w:rPr>
        <w:t>支持</w:t>
      </w:r>
      <w:r>
        <w:rPr>
          <w:rFonts w:hint="eastAsia" w:ascii="方正仿宋_GBK" w:hAnsi="方正仿宋_GBK" w:eastAsia="方正仿宋_GBK" w:cs="方正仿宋_GBK"/>
          <w:color w:val="auto"/>
          <w:sz w:val="32"/>
          <w:szCs w:val="32"/>
          <w:highlight w:val="none"/>
        </w:rPr>
        <w:t>重点项目</w:t>
      </w: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rPr>
        <w:t>个，</w:t>
      </w:r>
      <w:r>
        <w:rPr>
          <w:rFonts w:hint="eastAsia" w:ascii="方正仿宋_GBK" w:hAnsi="方正仿宋_GBK" w:eastAsia="方正仿宋_GBK" w:cs="方正仿宋_GBK"/>
          <w:color w:val="auto"/>
          <w:sz w:val="32"/>
          <w:szCs w:val="32"/>
          <w:highlight w:val="none"/>
          <w:lang w:val="en-US" w:eastAsia="zh-CN"/>
        </w:rPr>
        <w:t>安排</w:t>
      </w:r>
      <w:r>
        <w:rPr>
          <w:rFonts w:hint="eastAsia" w:ascii="方正仿宋_GBK" w:hAnsi="方正仿宋_GBK" w:eastAsia="方正仿宋_GBK" w:cs="方正仿宋_GBK"/>
          <w:color w:val="auto"/>
          <w:sz w:val="32"/>
          <w:szCs w:val="32"/>
          <w:highlight w:val="none"/>
          <w:lang w:eastAsia="zh-CN"/>
        </w:rPr>
        <w:t>资金</w:t>
      </w:r>
      <w:r>
        <w:rPr>
          <w:rFonts w:hint="eastAsia" w:ascii="方正仿宋_GBK" w:hAnsi="方正仿宋_GBK" w:eastAsia="方正仿宋_GBK" w:cs="方正仿宋_GBK"/>
          <w:color w:val="auto"/>
          <w:sz w:val="32"/>
          <w:szCs w:val="32"/>
          <w:highlight w:val="none"/>
          <w:lang w:val="en-US" w:eastAsia="zh-CN"/>
        </w:rPr>
        <w:t>1,600.00万元；支持</w:t>
      </w:r>
      <w:r>
        <w:rPr>
          <w:rFonts w:hint="eastAsia" w:ascii="方正仿宋_GBK" w:hAnsi="方正仿宋_GBK" w:eastAsia="方正仿宋_GBK" w:cs="方正仿宋_GBK"/>
          <w:color w:val="auto"/>
          <w:sz w:val="32"/>
          <w:szCs w:val="32"/>
          <w:highlight w:val="none"/>
        </w:rPr>
        <w:t>一般项目</w:t>
      </w:r>
      <w:r>
        <w:rPr>
          <w:rFonts w:hint="eastAsia" w:ascii="方正仿宋_GBK" w:hAnsi="方正仿宋_GBK" w:eastAsia="方正仿宋_GBK" w:cs="方正仿宋_GBK"/>
          <w:color w:val="auto"/>
          <w:sz w:val="32"/>
          <w:szCs w:val="32"/>
          <w:highlight w:val="none"/>
          <w:lang w:val="en-US" w:eastAsia="zh-CN"/>
        </w:rPr>
        <w:t>23</w:t>
      </w:r>
      <w:r>
        <w:rPr>
          <w:rFonts w:hint="eastAsia" w:ascii="方正仿宋_GBK" w:hAnsi="方正仿宋_GBK" w:eastAsia="方正仿宋_GBK" w:cs="方正仿宋_GBK"/>
          <w:color w:val="auto"/>
          <w:sz w:val="32"/>
          <w:szCs w:val="32"/>
          <w:highlight w:val="none"/>
        </w:rPr>
        <w:t>个</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安排</w:t>
      </w:r>
      <w:r>
        <w:rPr>
          <w:rFonts w:hint="eastAsia" w:ascii="方正仿宋_GBK" w:hAnsi="方正仿宋_GBK" w:eastAsia="方正仿宋_GBK" w:cs="方正仿宋_GBK"/>
          <w:color w:val="auto"/>
          <w:sz w:val="32"/>
          <w:szCs w:val="32"/>
          <w:highlight w:val="none"/>
          <w:lang w:eastAsia="zh-CN"/>
        </w:rPr>
        <w:t>资金</w:t>
      </w:r>
      <w:r>
        <w:rPr>
          <w:rFonts w:hint="eastAsia" w:ascii="方正仿宋_GBK" w:hAnsi="方正仿宋_GBK" w:eastAsia="方正仿宋_GBK" w:cs="方正仿宋_GBK"/>
          <w:color w:val="auto"/>
          <w:sz w:val="32"/>
          <w:szCs w:val="32"/>
          <w:highlight w:val="none"/>
          <w:lang w:val="en-US" w:eastAsia="zh-CN"/>
        </w:rPr>
        <w:t>9,642.00万元。</w:t>
      </w:r>
    </w:p>
    <w:p>
      <w:pPr>
        <w:pStyle w:val="7"/>
        <w:ind w:left="0" w:firstLine="0" w:firstLineChars="0"/>
        <w:jc w:val="center"/>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表1：2024年文保资金安排、分解下达表</w:t>
      </w:r>
    </w:p>
    <w:p>
      <w:pPr>
        <w:pStyle w:val="7"/>
        <w:ind w:left="0" w:firstLine="1440" w:firstLineChars="600"/>
        <w:jc w:val="right"/>
        <w:rPr>
          <w:rFonts w:hint="default" w:ascii="Times New Roman" w:hAnsi="Times New Roman" w:eastAsia="黑体" w:cs="Times New Roman"/>
          <w:color w:val="auto"/>
          <w:sz w:val="24"/>
          <w:szCs w:val="24"/>
          <w:highlight w:val="none"/>
          <w:lang w:val="en-US" w:eastAsia="zh-CN"/>
        </w:rPr>
      </w:pPr>
      <w:r>
        <w:rPr>
          <w:rFonts w:hint="default" w:ascii="Times New Roman" w:hAnsi="Times New Roman" w:eastAsia="黑体" w:cs="Times New Roman"/>
          <w:color w:val="auto"/>
          <w:sz w:val="24"/>
          <w:szCs w:val="24"/>
          <w:highlight w:val="none"/>
          <w:lang w:val="en-US" w:eastAsia="zh-CN"/>
        </w:rPr>
        <w:t>单位：万元</w:t>
      </w:r>
    </w:p>
    <w:tbl>
      <w:tblPr>
        <w:tblStyle w:val="4"/>
        <w:tblW w:w="5068" w:type="pct"/>
        <w:jc w:val="center"/>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646"/>
        <w:gridCol w:w="2965"/>
        <w:gridCol w:w="3793"/>
        <w:gridCol w:w="1234"/>
      </w:tblGrid>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trHeight w:val="0" w:hRule="atLeast"/>
          <w:tblHeader/>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序号</w:t>
            </w:r>
          </w:p>
        </w:tc>
        <w:tc>
          <w:tcPr>
            <w:tcW w:w="1716"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项目实施单位</w:t>
            </w:r>
          </w:p>
        </w:tc>
        <w:tc>
          <w:tcPr>
            <w:tcW w:w="219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项目名称</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安排资金</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一、</w:t>
            </w:r>
          </w:p>
        </w:tc>
        <w:tc>
          <w:tcPr>
            <w:tcW w:w="3911" w:type="pct"/>
            <w:gridSpan w:val="2"/>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重点项目</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1,600.00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北京市昌平区明十三陵管理中心</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明十三陵景陵保护修缮工程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1,600.00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二、</w:t>
            </w:r>
          </w:p>
        </w:tc>
        <w:tc>
          <w:tcPr>
            <w:tcW w:w="3911" w:type="pct"/>
            <w:gridSpan w:val="2"/>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一般项目</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9,642.00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2</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北京艺术博物馆</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万寿寺东路院墙修复工程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260.00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3</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北京艺术博物馆</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万寿寺古建筑彩画保护修复</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1,657.00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4</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北京中轴线遗产保护中心（北京世界文化遗产监测中心）</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正阳门城楼修缮工程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557.00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5</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北京市东城区地坛公园管理处</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地坛皇祇室修缮工程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452.00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6</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北京市朝阳区日坛公园</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日坛建筑群修缮工程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526.00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7</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北京市佛教协会</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天宁寺塔砖雕、泥塑造像保护前期研究报告</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501.00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8</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北京市东城区人民政府建国门街道办事处</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禄米仓</w:t>
            </w:r>
            <w:r>
              <w:rPr>
                <w:rStyle w:val="8"/>
                <w:rFonts w:hint="eastAsia" w:asciiTheme="minorEastAsia" w:hAnsiTheme="minorEastAsia" w:eastAsiaTheme="minorEastAsia" w:cstheme="minorEastAsia"/>
                <w:color w:val="auto"/>
                <w:sz w:val="20"/>
                <w:szCs w:val="20"/>
                <w:highlight w:val="none"/>
                <w:lang w:val="en-US" w:eastAsia="zh-CN" w:bidi="ar"/>
              </w:rPr>
              <w:t>1</w:t>
            </w: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w:t>
            </w:r>
            <w:r>
              <w:rPr>
                <w:rStyle w:val="8"/>
                <w:rFonts w:hint="eastAsia" w:asciiTheme="minorEastAsia" w:hAnsiTheme="minorEastAsia" w:eastAsiaTheme="minorEastAsia" w:cstheme="minorEastAsia"/>
                <w:color w:val="auto"/>
                <w:sz w:val="20"/>
                <w:szCs w:val="20"/>
                <w:highlight w:val="none"/>
                <w:lang w:val="en-US" w:eastAsia="zh-CN" w:bidi="ar"/>
              </w:rPr>
              <w:t>2</w:t>
            </w: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w:t>
            </w:r>
            <w:r>
              <w:rPr>
                <w:rStyle w:val="8"/>
                <w:rFonts w:hint="eastAsia" w:asciiTheme="minorEastAsia" w:hAnsiTheme="minorEastAsia" w:eastAsiaTheme="minorEastAsia" w:cstheme="minorEastAsia"/>
                <w:color w:val="auto"/>
                <w:sz w:val="20"/>
                <w:szCs w:val="20"/>
                <w:highlight w:val="none"/>
                <w:lang w:val="en-US" w:eastAsia="zh-CN" w:bidi="ar"/>
              </w:rPr>
              <w:t>3</w:t>
            </w: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号仓廒修缮工程项目</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84.00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9</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北京市颐和园管理处</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颐和园清华轩院修缮工程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625.00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北京市颐和园管理处</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颐和园乐农轩修缮工程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388.00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11</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北京市昌平区明十三陵管理中心</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十三陵长陵陵墙及祾恩门油饰修缮工程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998.00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12</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北京市天坛公园管理处</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天坛皇穹宇院落东西配殿、琉璃门保护修缮工程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425.00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13</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北京市文物局</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北京长峪城城堡等部分长城城堡研究与保护展示</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183.00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14</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香山革命纪念馆</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2023年香山革命纪念馆馆藏珍贵文物保护项目</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90.00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15</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圆明园管理处</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圆明园遗址重点风险部位初步筛查与体检（一期）项目</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170.00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16</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云居寺文物管理处</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房山云居寺塔及石经防雷升级改造工程</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242.00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17</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北京中轴线遗产保护中心（北京世界文化遗产监测中心）</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正阳门监测预警试点</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417.00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18</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北京市考古研究院（北京市文化遗产研究院）</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琉璃河遗址出土文物实验室考古及保护研究（</w:t>
            </w:r>
            <w:r>
              <w:rPr>
                <w:rStyle w:val="9"/>
                <w:rFonts w:hint="eastAsia" w:asciiTheme="minorEastAsia" w:hAnsiTheme="minorEastAsia" w:eastAsiaTheme="minorEastAsia" w:cstheme="minorEastAsia"/>
                <w:color w:val="auto"/>
                <w:sz w:val="20"/>
                <w:szCs w:val="20"/>
                <w:highlight w:val="none"/>
                <w:lang w:val="en-US" w:eastAsia="zh-CN" w:bidi="ar"/>
              </w:rPr>
              <w:t>2022</w:t>
            </w: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年</w:t>
            </w:r>
            <w:r>
              <w:rPr>
                <w:rStyle w:val="9"/>
                <w:rFonts w:hint="eastAsia" w:asciiTheme="minorEastAsia" w:hAnsiTheme="minorEastAsia" w:eastAsiaTheme="minorEastAsia" w:cstheme="minorEastAsia"/>
                <w:color w:val="auto"/>
                <w:sz w:val="20"/>
                <w:szCs w:val="20"/>
                <w:highlight w:val="none"/>
                <w:lang w:val="en-US" w:eastAsia="zh-CN" w:bidi="ar"/>
              </w:rPr>
              <w:t>-2024</w:t>
            </w: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年）专项方案</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206.00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19</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门头沟区文物事业管理所</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戒台寺保护修缮</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560.00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20</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门头沟区文物事业管理所</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长城门头沟段沿河城关堡保护修缮</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120.00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21</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北京房山琉璃河遗址管理处</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琉璃河遗址核心区安技防设备设施恢复</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351.00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22</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北京房山琉璃河遗址管理处</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琉璃河遗址核心区环境整理</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278.00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23</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北京考古遗址博物馆</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琉璃河遗址馆区墓葬及车马坑灾后保护修复项目</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398.00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374"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24</w:t>
            </w:r>
          </w:p>
        </w:tc>
        <w:tc>
          <w:tcPr>
            <w:tcW w:w="1716" w:type="pct"/>
            <w:tcBorders>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北京市考古研究院（北京市文化遗产研究院）</w:t>
            </w:r>
          </w:p>
        </w:tc>
        <w:tc>
          <w:tcPr>
            <w:tcW w:w="2194" w:type="pct"/>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琉璃河遗址</w:t>
            </w:r>
            <w:r>
              <w:rPr>
                <w:rStyle w:val="9"/>
                <w:rFonts w:hint="eastAsia" w:asciiTheme="minorEastAsia" w:hAnsiTheme="minorEastAsia" w:eastAsiaTheme="minorEastAsia" w:cstheme="minorEastAsia"/>
                <w:color w:val="auto"/>
                <w:sz w:val="20"/>
                <w:szCs w:val="20"/>
                <w:highlight w:val="none"/>
                <w:lang w:val="en-US" w:eastAsia="zh-CN" w:bidi="ar"/>
              </w:rPr>
              <w:t>2023</w:t>
            </w: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年墓葬区考古发掘工地降水支护项目</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154.00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4285" w:type="pct"/>
            <w:gridSpan w:val="3"/>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合计</w:t>
            </w: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11,242.00</w:t>
            </w:r>
          </w:p>
        </w:tc>
      </w:tr>
      <w:tr>
        <w:tblPrEx>
          <w:tblBorders>
            <w:top w:val="single" w:color="000000" w:sz="4" w:space="0"/>
            <w:left w:val="none" w:color="auto" w:sz="0" w:space="0"/>
            <w:bottom w:val="single" w:color="000000" w:sz="6" w:space="0"/>
            <w:right w:val="none" w:color="auto" w:sz="0" w:space="0"/>
            <w:insideH w:val="dotted" w:color="000000" w:sz="4" w:space="0"/>
            <w:insideV w:val="dotted" w:color="000000" w:sz="4" w:space="0"/>
          </w:tblBorders>
          <w:tblCellMar>
            <w:top w:w="0" w:type="dxa"/>
            <w:left w:w="108" w:type="dxa"/>
            <w:bottom w:w="0" w:type="dxa"/>
            <w:right w:w="108" w:type="dxa"/>
          </w:tblCellMar>
        </w:tblPrEx>
        <w:trPr>
          <w:cantSplit/>
          <w:trHeight w:val="0" w:hRule="atLeast"/>
          <w:jc w:val="center"/>
        </w:trPr>
        <w:tc>
          <w:tcPr>
            <w:tcW w:w="4285" w:type="pct"/>
            <w:gridSpan w:val="3"/>
            <w:tcBorders>
              <w:tl2br w:val="nil"/>
              <w:tr2bl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kern w:val="0"/>
                <w:sz w:val="20"/>
                <w:szCs w:val="20"/>
                <w:highlight w:val="none"/>
                <w:u w:val="none"/>
                <w:lang w:val="en-US" w:eastAsia="zh-CN" w:bidi="ar"/>
              </w:rPr>
            </w:pPr>
          </w:p>
        </w:tc>
        <w:tc>
          <w:tcPr>
            <w:tcW w:w="714"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楷体_GBK" w:hAnsi="方正楷体_GBK" w:eastAsia="方正楷体_GBK" w:cs="方正楷体_GBK"/>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（二）资金投入情况分析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20</w:t>
      </w:r>
      <w:r>
        <w:rPr>
          <w:rFonts w:hint="eastAsia" w:ascii="方正仿宋_GBK" w:hAnsi="方正仿宋_GBK" w:eastAsia="方正仿宋_GBK" w:cs="方正仿宋_GBK"/>
          <w:color w:val="auto"/>
          <w:sz w:val="32"/>
          <w:szCs w:val="32"/>
          <w:highlight w:val="none"/>
          <w:lang w:val="en-US" w:eastAsia="zh-CN"/>
        </w:rPr>
        <w:t>24</w:t>
      </w:r>
      <w:r>
        <w:rPr>
          <w:rFonts w:hint="eastAsia" w:ascii="方正仿宋_GBK" w:hAnsi="方正仿宋_GBK" w:eastAsia="方正仿宋_GBK" w:cs="方正仿宋_GBK"/>
          <w:color w:val="auto"/>
          <w:sz w:val="32"/>
          <w:szCs w:val="32"/>
          <w:highlight w:val="none"/>
        </w:rPr>
        <w:t>年</w:t>
      </w:r>
      <w:r>
        <w:rPr>
          <w:rFonts w:hint="eastAsia" w:ascii="方正仿宋_GBK" w:hAnsi="方正仿宋_GBK" w:eastAsia="方正仿宋_GBK" w:cs="方正仿宋_GBK"/>
          <w:color w:val="auto"/>
          <w:sz w:val="32"/>
          <w:szCs w:val="32"/>
          <w:highlight w:val="none"/>
          <w:lang w:eastAsia="zh-CN"/>
        </w:rPr>
        <w:t>北京市实际投入</w:t>
      </w:r>
      <w:r>
        <w:rPr>
          <w:rFonts w:hint="eastAsia" w:ascii="方正仿宋_GBK" w:hAnsi="方正仿宋_GBK" w:eastAsia="方正仿宋_GBK" w:cs="方正仿宋_GBK"/>
          <w:color w:val="auto"/>
          <w:sz w:val="32"/>
          <w:szCs w:val="32"/>
          <w:highlight w:val="none"/>
          <w:lang w:val="en-US" w:eastAsia="zh-CN"/>
        </w:rPr>
        <w:t>文保</w:t>
      </w:r>
      <w:r>
        <w:rPr>
          <w:rFonts w:hint="eastAsia" w:ascii="方正仿宋_GBK" w:hAnsi="方正仿宋_GBK" w:eastAsia="方正仿宋_GBK" w:cs="方正仿宋_GBK"/>
          <w:color w:val="auto"/>
          <w:sz w:val="32"/>
          <w:szCs w:val="32"/>
          <w:highlight w:val="none"/>
          <w:lang w:eastAsia="zh-CN"/>
        </w:rPr>
        <w:t>资金14,994.34万元，</w:t>
      </w:r>
      <w:r>
        <w:rPr>
          <w:rFonts w:hint="eastAsia" w:ascii="方正仿宋_GBK" w:hAnsi="方正仿宋_GBK" w:eastAsia="方正仿宋_GBK" w:cs="方正仿宋_GBK"/>
          <w:color w:val="auto"/>
          <w:sz w:val="32"/>
          <w:szCs w:val="32"/>
          <w:highlight w:val="none"/>
          <w:lang w:val="en-US" w:eastAsia="zh-CN"/>
        </w:rPr>
        <w:t>其中：2024年当年下达资金11,242.00</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，上年</w:t>
      </w:r>
      <w:r>
        <w:rPr>
          <w:rFonts w:hint="eastAsia" w:ascii="方正仿宋_GBK" w:hAnsi="方正仿宋_GBK" w:eastAsia="方正仿宋_GBK" w:cs="方正仿宋_GBK"/>
          <w:color w:val="auto"/>
          <w:sz w:val="32"/>
          <w:szCs w:val="32"/>
          <w:highlight w:val="none"/>
        </w:rPr>
        <w:t>结转资金3,752.34</w:t>
      </w:r>
      <w:r>
        <w:rPr>
          <w:rFonts w:hint="eastAsia" w:ascii="方正仿宋_GBK" w:hAnsi="方正仿宋_GBK" w:eastAsia="方正仿宋_GBK" w:cs="方正仿宋_GBK"/>
          <w:color w:val="auto"/>
          <w:sz w:val="32"/>
          <w:szCs w:val="32"/>
          <w:highlight w:val="none"/>
          <w:lang w:eastAsia="zh-CN"/>
        </w:rPr>
        <w:t>万元，共安排项目</w:t>
      </w:r>
      <w:r>
        <w:rPr>
          <w:rFonts w:hint="eastAsia" w:ascii="方正仿宋_GBK" w:hAnsi="方正仿宋_GBK" w:eastAsia="方正仿宋_GBK" w:cs="方正仿宋_GBK"/>
          <w:color w:val="auto"/>
          <w:sz w:val="32"/>
          <w:szCs w:val="32"/>
          <w:highlight w:val="none"/>
          <w:lang w:val="en-US" w:eastAsia="zh-CN"/>
        </w:rPr>
        <w:t>33个，其中：2024年当年支持项目24个，上年结转项目9个。</w:t>
      </w:r>
      <w:r>
        <w:rPr>
          <w:rFonts w:hint="eastAsia" w:ascii="方正仿宋_GBK" w:hAnsi="方正仿宋_GBK" w:eastAsia="方正仿宋_GBK" w:cs="方正仿宋_GBK"/>
          <w:color w:val="auto"/>
          <w:sz w:val="32"/>
          <w:szCs w:val="32"/>
          <w:highlight w:val="none"/>
        </w:rPr>
        <w:t>截</w:t>
      </w:r>
      <w:r>
        <w:rPr>
          <w:rFonts w:hint="eastAsia" w:ascii="方正仿宋_GBK" w:hAnsi="方正仿宋_GBK" w:eastAsia="方正仿宋_GBK" w:cs="方正仿宋_GBK"/>
          <w:color w:val="auto"/>
          <w:sz w:val="32"/>
          <w:szCs w:val="32"/>
          <w:highlight w:val="none"/>
          <w:lang w:eastAsia="zh-CN"/>
        </w:rPr>
        <w:t>至</w:t>
      </w:r>
      <w:r>
        <w:rPr>
          <w:rFonts w:hint="eastAsia" w:ascii="方正仿宋_GBK" w:hAnsi="方正仿宋_GBK" w:eastAsia="方正仿宋_GBK" w:cs="方正仿宋_GBK"/>
          <w:color w:val="auto"/>
          <w:sz w:val="32"/>
          <w:szCs w:val="32"/>
          <w:highlight w:val="none"/>
        </w:rPr>
        <w:t>202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年12月31日，</w:t>
      </w:r>
      <w:r>
        <w:rPr>
          <w:rFonts w:hint="eastAsia" w:ascii="方正仿宋_GBK" w:hAnsi="方正仿宋_GBK" w:eastAsia="方正仿宋_GBK" w:cs="方正仿宋_GBK"/>
          <w:color w:val="auto"/>
          <w:sz w:val="32"/>
          <w:szCs w:val="32"/>
          <w:highlight w:val="none"/>
          <w:lang w:val="en-US" w:eastAsia="zh-CN"/>
        </w:rPr>
        <w:t>文保资金</w:t>
      </w:r>
      <w:r>
        <w:rPr>
          <w:rFonts w:hint="eastAsia" w:ascii="方正仿宋_GBK" w:hAnsi="方正仿宋_GBK" w:eastAsia="方正仿宋_GBK" w:cs="方正仿宋_GBK"/>
          <w:color w:val="auto"/>
          <w:sz w:val="32"/>
          <w:szCs w:val="32"/>
          <w:highlight w:val="none"/>
        </w:rPr>
        <w:t>实际支出10,972.19万元，</w:t>
      </w:r>
      <w:r>
        <w:rPr>
          <w:rFonts w:hint="eastAsia" w:ascii="方正仿宋_GBK" w:hAnsi="方正仿宋_GBK" w:eastAsia="方正仿宋_GBK" w:cs="方正仿宋_GBK"/>
          <w:color w:val="auto"/>
          <w:sz w:val="32"/>
          <w:szCs w:val="32"/>
          <w:highlight w:val="none"/>
          <w:lang w:eastAsia="zh-CN"/>
        </w:rPr>
        <w:t>预算执行率</w:t>
      </w:r>
      <w:r>
        <w:rPr>
          <w:rFonts w:hint="eastAsia" w:ascii="方正仿宋_GBK" w:hAnsi="方正仿宋_GBK" w:eastAsia="方正仿宋_GBK" w:cs="方正仿宋_GBK"/>
          <w:color w:val="auto"/>
          <w:sz w:val="32"/>
          <w:szCs w:val="32"/>
          <w:highlight w:val="none"/>
          <w:lang w:val="en-US" w:eastAsia="zh-CN"/>
        </w:rPr>
        <w:t>73.18</w:t>
      </w:r>
      <w:r>
        <w:rPr>
          <w:rFonts w:hint="eastAsia" w:ascii="方正仿宋_GBK" w:hAnsi="方正仿宋_GBK" w:eastAsia="方正仿宋_GBK" w:cs="方正仿宋_GBK"/>
          <w:color w:val="auto"/>
          <w:sz w:val="32"/>
          <w:szCs w:val="32"/>
          <w:highlight w:val="none"/>
          <w:lang w:eastAsia="zh-CN"/>
        </w:rPr>
        <w:t>%</w:t>
      </w:r>
      <w:r>
        <w:rPr>
          <w:rStyle w:val="6"/>
          <w:rFonts w:hint="eastAsia" w:ascii="方正仿宋_GBK" w:hAnsi="方正仿宋_GBK" w:eastAsia="方正仿宋_GBK" w:cs="方正仿宋_GBK"/>
          <w:color w:val="auto"/>
          <w:sz w:val="32"/>
          <w:szCs w:val="32"/>
          <w:highlight w:val="none"/>
          <w:lang w:eastAsia="zh-CN"/>
        </w:rPr>
        <w:footnoteReference w:id="0"/>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结转结余资金4,022.15</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结转结余率26.82%。其中：结余资金642.96</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结转资金3,379.19</w:t>
      </w:r>
      <w:r>
        <w:rPr>
          <w:rFonts w:hint="eastAsia" w:ascii="方正仿宋_GBK" w:hAnsi="方正仿宋_GBK" w:eastAsia="方正仿宋_GBK" w:cs="方正仿宋_GBK"/>
          <w:color w:val="auto"/>
          <w:sz w:val="32"/>
          <w:szCs w:val="32"/>
          <w:highlight w:val="none"/>
        </w:rPr>
        <w:t>万元</w:t>
      </w:r>
      <w:r>
        <w:rPr>
          <w:rFonts w:hint="eastAsia" w:ascii="方正仿宋_GBK" w:hAnsi="方正仿宋_GBK" w:eastAsia="方正仿宋_GBK" w:cs="方正仿宋_GBK"/>
          <w:color w:val="auto"/>
          <w:sz w:val="32"/>
          <w:szCs w:val="32"/>
          <w:highlight w:val="none"/>
          <w:lang w:val="en-US" w:eastAsia="zh-CN"/>
        </w:rPr>
        <w:t>。</w:t>
      </w:r>
    </w:p>
    <w:p>
      <w:pPr>
        <w:pStyle w:val="7"/>
        <w:adjustRightInd/>
        <w:snapToGrid/>
        <w:spacing w:line="240" w:lineRule="auto"/>
        <w:ind w:left="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表2：2024年文保资金执行情况表</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jc w:val="right"/>
        <w:textAlignment w:val="auto"/>
        <w:rPr>
          <w:rFonts w:hint="default" w:ascii="Times New Roman" w:hAnsi="Times New Roman" w:eastAsia="黑体" w:cs="Times New Roman"/>
          <w:color w:val="auto"/>
          <w:sz w:val="24"/>
          <w:szCs w:val="24"/>
          <w:highlight w:val="none"/>
          <w:lang w:val="en-US" w:eastAsia="zh-CN"/>
        </w:rPr>
      </w:pPr>
      <w:r>
        <w:rPr>
          <w:rFonts w:hint="default" w:ascii="Times New Roman" w:hAnsi="Times New Roman" w:eastAsia="黑体" w:cs="Times New Roman"/>
          <w:color w:val="auto"/>
          <w:sz w:val="24"/>
          <w:szCs w:val="24"/>
          <w:highlight w:val="none"/>
          <w:lang w:val="en-US" w:eastAsia="zh-CN"/>
        </w:rPr>
        <w:t>单位：万元</w:t>
      </w:r>
    </w:p>
    <w:tbl>
      <w:tblPr>
        <w:tblStyle w:val="4"/>
        <w:tblW w:w="5042" w:type="pct"/>
        <w:tblInd w:w="0" w:type="dxa"/>
        <w:tblBorders>
          <w:top w:val="single" w:color="000000" w:sz="6" w:space="0"/>
          <w:left w:val="none" w:color="auto" w:sz="0" w:space="0"/>
          <w:bottom w:val="single" w:color="000000" w:sz="6" w:space="0"/>
          <w:right w:val="none" w:color="auto" w:sz="0" w:space="0"/>
          <w:insideH w:val="dotted" w:color="000000" w:sz="6" w:space="0"/>
          <w:insideV w:val="dotted" w:color="000000" w:sz="6" w:space="0"/>
        </w:tblBorders>
        <w:shd w:val="clear" w:color="auto" w:fill="auto"/>
        <w:tblLayout w:type="autofit"/>
        <w:tblCellMar>
          <w:top w:w="0" w:type="dxa"/>
          <w:left w:w="108" w:type="dxa"/>
          <w:bottom w:w="0" w:type="dxa"/>
          <w:right w:w="108" w:type="dxa"/>
        </w:tblCellMar>
      </w:tblPr>
      <w:tblGrid>
        <w:gridCol w:w="846"/>
        <w:gridCol w:w="851"/>
        <w:gridCol w:w="851"/>
        <w:gridCol w:w="1032"/>
        <w:gridCol w:w="1139"/>
        <w:gridCol w:w="1139"/>
        <w:gridCol w:w="851"/>
        <w:gridCol w:w="852"/>
        <w:gridCol w:w="1033"/>
      </w:tblGrid>
      <w:tr>
        <w:tblPrEx>
          <w:tblBorders>
            <w:top w:val="single" w:color="000000" w:sz="6" w:space="0"/>
            <w:left w:val="none" w:color="auto" w:sz="0" w:space="0"/>
            <w:bottom w:val="single" w:color="000000" w:sz="6" w:space="0"/>
            <w:right w:val="none" w:color="auto" w:sz="0" w:space="0"/>
            <w:insideH w:val="dotted" w:color="000000" w:sz="6" w:space="0"/>
            <w:insideV w:val="dotted" w:color="000000" w:sz="6" w:space="0"/>
          </w:tblBorders>
          <w:tblCellMar>
            <w:top w:w="0" w:type="dxa"/>
            <w:left w:w="108" w:type="dxa"/>
            <w:bottom w:w="0" w:type="dxa"/>
            <w:right w:w="108" w:type="dxa"/>
          </w:tblCellMar>
        </w:tblPrEx>
        <w:trPr>
          <w:trHeight w:val="838" w:hRule="atLeast"/>
        </w:trPr>
        <w:tc>
          <w:tcPr>
            <w:tcW w:w="492"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序号</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内容</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安排项目个数</w:t>
            </w:r>
          </w:p>
        </w:tc>
        <w:tc>
          <w:tcPr>
            <w:tcW w:w="60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上年结转金额</w:t>
            </w:r>
          </w:p>
        </w:tc>
        <w:tc>
          <w:tcPr>
            <w:tcW w:w="6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2024年下达金额</w:t>
            </w:r>
          </w:p>
        </w:tc>
        <w:tc>
          <w:tcPr>
            <w:tcW w:w="6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2024年支出金额</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预算执行率</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结余资金</w:t>
            </w:r>
          </w:p>
        </w:tc>
        <w:tc>
          <w:tcPr>
            <w:tcW w:w="600" w:type="pct"/>
            <w:tcBorders>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结转资金</w:t>
            </w:r>
          </w:p>
        </w:tc>
      </w:tr>
      <w:tr>
        <w:tblPrEx>
          <w:tblBorders>
            <w:top w:val="single" w:color="000000" w:sz="6" w:space="0"/>
            <w:left w:val="none" w:color="auto" w:sz="0" w:space="0"/>
            <w:bottom w:val="single" w:color="000000" w:sz="6" w:space="0"/>
            <w:right w:val="none" w:color="auto" w:sz="0" w:space="0"/>
            <w:insideH w:val="dotted" w:color="000000" w:sz="6" w:space="0"/>
            <w:insideV w:val="dotted" w:color="000000" w:sz="6" w:space="0"/>
          </w:tblBorders>
          <w:tblCellMar>
            <w:top w:w="0" w:type="dxa"/>
            <w:left w:w="108" w:type="dxa"/>
            <w:bottom w:w="0" w:type="dxa"/>
            <w:right w:w="108" w:type="dxa"/>
          </w:tblCellMar>
        </w:tblPrEx>
        <w:trPr>
          <w:trHeight w:val="1239" w:hRule="atLeast"/>
        </w:trPr>
        <w:tc>
          <w:tcPr>
            <w:tcW w:w="492"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2024年当年安排项目</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24</w:t>
            </w:r>
          </w:p>
        </w:tc>
        <w:tc>
          <w:tcPr>
            <w:tcW w:w="60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1,066.41</w:t>
            </w:r>
          </w:p>
        </w:tc>
        <w:tc>
          <w:tcPr>
            <w:tcW w:w="6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11,242.00</w:t>
            </w:r>
          </w:p>
        </w:tc>
        <w:tc>
          <w:tcPr>
            <w:tcW w:w="6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8,830.44</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71.74%</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98.78</w:t>
            </w:r>
          </w:p>
        </w:tc>
        <w:tc>
          <w:tcPr>
            <w:tcW w:w="60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3,379.19</w:t>
            </w:r>
          </w:p>
        </w:tc>
      </w:tr>
      <w:tr>
        <w:tblPrEx>
          <w:tblBorders>
            <w:top w:val="single" w:color="000000" w:sz="6" w:space="0"/>
            <w:left w:val="none" w:color="auto" w:sz="0" w:space="0"/>
            <w:bottom w:val="single" w:color="000000" w:sz="6" w:space="0"/>
            <w:right w:val="none" w:color="auto" w:sz="0" w:space="0"/>
            <w:insideH w:val="dotted" w:color="000000" w:sz="6" w:space="0"/>
            <w:insideV w:val="dotted" w:color="000000" w:sz="6" w:space="0"/>
          </w:tblBorders>
          <w:tblCellMar>
            <w:top w:w="0" w:type="dxa"/>
            <w:left w:w="108" w:type="dxa"/>
            <w:bottom w:w="0" w:type="dxa"/>
            <w:right w:w="108" w:type="dxa"/>
          </w:tblCellMar>
        </w:tblPrEx>
        <w:trPr>
          <w:trHeight w:val="838" w:hRule="atLeast"/>
        </w:trPr>
        <w:tc>
          <w:tcPr>
            <w:tcW w:w="492"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上年结转项目</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9</w:t>
            </w:r>
          </w:p>
        </w:tc>
        <w:tc>
          <w:tcPr>
            <w:tcW w:w="60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2,685.93</w:t>
            </w:r>
          </w:p>
        </w:tc>
        <w:tc>
          <w:tcPr>
            <w:tcW w:w="6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w:t>
            </w:r>
          </w:p>
        </w:tc>
        <w:tc>
          <w:tcPr>
            <w:tcW w:w="6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2,141.75</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79.74%</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544.18</w:t>
            </w:r>
          </w:p>
        </w:tc>
        <w:tc>
          <w:tcPr>
            <w:tcW w:w="60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w:t>
            </w:r>
          </w:p>
        </w:tc>
      </w:tr>
      <w:tr>
        <w:tblPrEx>
          <w:tblBorders>
            <w:top w:val="single" w:color="000000" w:sz="6" w:space="0"/>
            <w:left w:val="none" w:color="auto" w:sz="0" w:space="0"/>
            <w:bottom w:val="single" w:color="000000" w:sz="6" w:space="0"/>
            <w:right w:val="none" w:color="auto" w:sz="0" w:space="0"/>
            <w:insideH w:val="dotted" w:color="000000" w:sz="6" w:space="0"/>
            <w:insideV w:val="dotted" w:color="000000" w:sz="6" w:space="0"/>
          </w:tblBorders>
          <w:tblCellMar>
            <w:top w:w="0" w:type="dxa"/>
            <w:left w:w="108" w:type="dxa"/>
            <w:bottom w:w="0" w:type="dxa"/>
            <w:right w:w="108" w:type="dxa"/>
          </w:tblCellMar>
        </w:tblPrEx>
        <w:trPr>
          <w:trHeight w:val="473" w:hRule="atLeast"/>
        </w:trPr>
        <w:tc>
          <w:tcPr>
            <w:tcW w:w="987" w:type="pct"/>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合计</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33</w:t>
            </w:r>
          </w:p>
        </w:tc>
        <w:tc>
          <w:tcPr>
            <w:tcW w:w="60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3,752.34</w:t>
            </w:r>
          </w:p>
        </w:tc>
        <w:tc>
          <w:tcPr>
            <w:tcW w:w="6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11,242.00</w:t>
            </w:r>
          </w:p>
        </w:tc>
        <w:tc>
          <w:tcPr>
            <w:tcW w:w="662"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10,972.19</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73.18%</w:t>
            </w:r>
          </w:p>
        </w:tc>
        <w:tc>
          <w:tcPr>
            <w:tcW w:w="495"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642.96</w:t>
            </w:r>
          </w:p>
        </w:tc>
        <w:tc>
          <w:tcPr>
            <w:tcW w:w="600" w:type="pct"/>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auto"/>
                <w:sz w:val="20"/>
                <w:szCs w:val="20"/>
                <w:highlight w:val="none"/>
                <w:u w:val="none"/>
              </w:rPr>
            </w:pPr>
            <w:r>
              <w:rPr>
                <w:rFonts w:hint="eastAsia" w:asciiTheme="minorEastAsia" w:hAnsiTheme="minorEastAsia" w:eastAsiaTheme="minorEastAsia" w:cstheme="minorEastAsia"/>
                <w:b/>
                <w:bCs/>
                <w:i w:val="0"/>
                <w:iCs w:val="0"/>
                <w:color w:val="auto"/>
                <w:kern w:val="0"/>
                <w:sz w:val="20"/>
                <w:szCs w:val="20"/>
                <w:highlight w:val="none"/>
                <w:u w:val="none"/>
                <w:lang w:val="en-US" w:eastAsia="zh-CN" w:bidi="ar"/>
              </w:rPr>
              <w:t>3,379.19</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楷体_GBK" w:hAnsi="方正楷体_GBK" w:eastAsia="方正楷体_GBK" w:cs="方正楷体_GBK"/>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（三）资金管理情况分析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rPr>
      </w:pPr>
      <w:r>
        <w:rPr>
          <w:rFonts w:hint="eastAsia" w:ascii="方正仿宋_GBK" w:hAnsi="方正仿宋_GBK" w:eastAsia="方正仿宋_GBK" w:cs="方正仿宋_GBK"/>
          <w:b w:val="0"/>
          <w:bCs w:val="0"/>
          <w:color w:val="auto"/>
          <w:sz w:val="32"/>
          <w:szCs w:val="32"/>
          <w:highlight w:val="none"/>
        </w:rPr>
        <w:t>1.资金分配科学性。北京</w:t>
      </w:r>
      <w:r>
        <w:rPr>
          <w:rFonts w:hint="eastAsia" w:ascii="方正仿宋_GBK" w:hAnsi="方正仿宋_GBK" w:eastAsia="方正仿宋_GBK" w:cs="方正仿宋_GBK"/>
          <w:b w:val="0"/>
          <w:bCs w:val="0"/>
          <w:color w:val="auto"/>
          <w:sz w:val="32"/>
          <w:szCs w:val="32"/>
          <w:highlight w:val="none"/>
          <w:lang w:eastAsia="zh-CN"/>
        </w:rPr>
        <w:t>市将</w:t>
      </w:r>
      <w:r>
        <w:rPr>
          <w:rFonts w:hint="eastAsia" w:ascii="方正仿宋_GBK" w:hAnsi="方正仿宋_GBK" w:eastAsia="方正仿宋_GBK" w:cs="方正仿宋_GBK"/>
          <w:b w:val="0"/>
          <w:bCs w:val="0"/>
          <w:color w:val="auto"/>
          <w:sz w:val="32"/>
          <w:szCs w:val="32"/>
          <w:highlight w:val="none"/>
        </w:rPr>
        <w:t>严格按照《国家文物保护资金管理办法》规定的范围和标准，</w:t>
      </w:r>
      <w:r>
        <w:rPr>
          <w:rFonts w:hint="eastAsia" w:ascii="方正仿宋_GBK" w:hAnsi="方正仿宋_GBK" w:eastAsia="方正仿宋_GBK" w:cs="方正仿宋_GBK"/>
          <w:b w:val="0"/>
          <w:bCs w:val="0"/>
          <w:color w:val="auto"/>
          <w:sz w:val="32"/>
          <w:szCs w:val="32"/>
          <w:highlight w:val="none"/>
          <w:lang w:eastAsia="zh-CN"/>
        </w:rPr>
        <w:t>对文保资金进行</w:t>
      </w:r>
      <w:r>
        <w:rPr>
          <w:rFonts w:hint="eastAsia" w:ascii="方正仿宋_GBK" w:hAnsi="方正仿宋_GBK" w:eastAsia="方正仿宋_GBK" w:cs="方正仿宋_GBK"/>
          <w:b w:val="0"/>
          <w:bCs w:val="0"/>
          <w:color w:val="auto"/>
          <w:sz w:val="32"/>
          <w:szCs w:val="32"/>
          <w:highlight w:val="none"/>
        </w:rPr>
        <w:t>分配</w:t>
      </w:r>
      <w:r>
        <w:rPr>
          <w:rFonts w:hint="eastAsia" w:ascii="方正仿宋_GBK" w:hAnsi="方正仿宋_GBK" w:eastAsia="方正仿宋_GBK" w:cs="方正仿宋_GBK"/>
          <w:b w:val="0"/>
          <w:bCs w:val="0"/>
          <w:color w:val="auto"/>
          <w:sz w:val="32"/>
          <w:szCs w:val="32"/>
          <w:highlight w:val="none"/>
          <w:lang w:eastAsia="zh-CN"/>
        </w:rPr>
        <w:t>。</w:t>
      </w:r>
      <w:r>
        <w:rPr>
          <w:rFonts w:hint="eastAsia" w:ascii="方正仿宋_GBK" w:hAnsi="方正仿宋_GBK" w:eastAsia="方正仿宋_GBK" w:cs="方正仿宋_GBK"/>
          <w:b w:val="0"/>
          <w:bCs w:val="0"/>
          <w:color w:val="auto"/>
          <w:sz w:val="32"/>
          <w:szCs w:val="32"/>
          <w:highlight w:val="none"/>
          <w:lang w:val="en-US" w:eastAsia="zh-CN"/>
        </w:rPr>
        <w:t>2024年当年支持项目24个，其中：支持重点项目1个，安排资金1,600.00万元，占比14.23%；支持一般项目23个，安排资金9,642.00万元，占比85.77%。</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val="0"/>
          <w:bCs w:val="0"/>
          <w:color w:val="auto"/>
          <w:sz w:val="32"/>
          <w:szCs w:val="32"/>
          <w:highlight w:val="none"/>
        </w:rPr>
        <w:t>2.资金下达及时性。</w:t>
      </w:r>
      <w:r>
        <w:rPr>
          <w:rFonts w:hint="eastAsia" w:ascii="方正仿宋_GBK" w:hAnsi="方正仿宋_GBK" w:eastAsia="方正仿宋_GBK" w:cs="方正仿宋_GBK"/>
          <w:color w:val="auto"/>
          <w:sz w:val="32"/>
          <w:szCs w:val="32"/>
          <w:highlight w:val="none"/>
        </w:rPr>
        <w:t>严格按照预算法及其实施条例、转移支付管理制度规定以及资金管理办法规定的时限要求分解下达</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2024年实际下达资金11,242.00万元，资金下达率100%</w:t>
      </w:r>
      <w:r>
        <w:rPr>
          <w:rFonts w:hint="eastAsia" w:ascii="方正仿宋_GBK" w:hAnsi="方正仿宋_GBK" w:eastAsia="方正仿宋_GBK" w:cs="方正仿宋_GBK"/>
          <w:color w:val="auto"/>
          <w:sz w:val="32"/>
          <w:szCs w:val="32"/>
          <w:highlight w:val="none"/>
        </w:rPr>
        <w:t>。</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highlight w:val="none"/>
        </w:rPr>
        <w:t>3.资金拨付合规性。</w:t>
      </w:r>
      <w:r>
        <w:rPr>
          <w:rFonts w:hint="eastAsia" w:ascii="方正仿宋_GBK" w:hAnsi="方正仿宋_GBK" w:eastAsia="方正仿宋_GBK" w:cs="方正仿宋_GBK"/>
          <w:b w:val="0"/>
          <w:bCs w:val="0"/>
          <w:color w:val="auto"/>
          <w:sz w:val="32"/>
          <w:szCs w:val="32"/>
          <w:highlight w:val="none"/>
          <w:lang w:val="en-US" w:eastAsia="zh-CN"/>
        </w:rPr>
        <w:t>文保资金支付严格</w:t>
      </w:r>
      <w:r>
        <w:rPr>
          <w:rFonts w:hint="eastAsia" w:ascii="方正仿宋_GBK" w:hAnsi="方正仿宋_GBK" w:eastAsia="方正仿宋_GBK" w:cs="方正仿宋_GBK"/>
          <w:b w:val="0"/>
          <w:bCs w:val="0"/>
          <w:color w:val="auto"/>
          <w:sz w:val="32"/>
          <w:szCs w:val="32"/>
          <w:highlight w:val="none"/>
        </w:rPr>
        <w:t>按照国库集中支付有关规定执行，未发现将资金从国库转入财政专户或支付到预算单位实有资金账户等问题。</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highlight w:val="none"/>
        </w:rPr>
        <w:t>4.资金使用规范性。北京市严格按照下达预算的科目和项目执行，补助资金专款专用，按支出方向单独记账，分别核算，未发现擅自扩大支出范围，或以任何形式截留、挤占、挪用或擅自调整等问题。</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b w:val="0"/>
          <w:bCs w:val="0"/>
          <w:color w:val="auto"/>
          <w:sz w:val="32"/>
          <w:szCs w:val="32"/>
          <w:highlight w:val="none"/>
        </w:rPr>
        <w:t>5.资金执行准确性。截至20</w:t>
      </w:r>
      <w:r>
        <w:rPr>
          <w:rFonts w:hint="eastAsia" w:ascii="方正仿宋_GBK" w:hAnsi="方正仿宋_GBK" w:eastAsia="方正仿宋_GBK" w:cs="方正仿宋_GBK"/>
          <w:color w:val="auto"/>
          <w:sz w:val="32"/>
          <w:szCs w:val="32"/>
          <w:highlight w:val="none"/>
        </w:rPr>
        <w:t>2</w:t>
      </w:r>
      <w:r>
        <w:rPr>
          <w:rFonts w:hint="eastAsia" w:ascii="方正仿宋_GBK" w:hAnsi="方正仿宋_GBK" w:eastAsia="方正仿宋_GBK" w:cs="方正仿宋_GBK"/>
          <w:color w:val="auto"/>
          <w:sz w:val="32"/>
          <w:szCs w:val="32"/>
          <w:highlight w:val="none"/>
          <w:lang w:val="en-US" w:eastAsia="zh-CN"/>
        </w:rPr>
        <w:t>4</w:t>
      </w:r>
      <w:r>
        <w:rPr>
          <w:rFonts w:hint="eastAsia" w:ascii="方正仿宋_GBK" w:hAnsi="方正仿宋_GBK" w:eastAsia="方正仿宋_GBK" w:cs="方正仿宋_GBK"/>
          <w:color w:val="auto"/>
          <w:sz w:val="32"/>
          <w:szCs w:val="32"/>
          <w:highlight w:val="none"/>
        </w:rPr>
        <w:t>年12月，</w:t>
      </w:r>
      <w:r>
        <w:rPr>
          <w:rFonts w:hint="eastAsia" w:ascii="方正仿宋_GBK" w:hAnsi="方正仿宋_GBK" w:eastAsia="方正仿宋_GBK" w:cs="方正仿宋_GBK"/>
          <w:color w:val="auto"/>
          <w:sz w:val="32"/>
          <w:szCs w:val="32"/>
          <w:highlight w:val="none"/>
          <w:lang w:val="en-US" w:eastAsia="zh-CN"/>
        </w:rPr>
        <w:t>文保资金</w:t>
      </w:r>
      <w:r>
        <w:rPr>
          <w:rFonts w:hint="eastAsia" w:ascii="方正仿宋_GBK" w:hAnsi="方正仿宋_GBK" w:eastAsia="方正仿宋_GBK" w:cs="方正仿宋_GBK"/>
          <w:color w:val="auto"/>
          <w:sz w:val="32"/>
          <w:szCs w:val="32"/>
          <w:highlight w:val="none"/>
        </w:rPr>
        <w:t>支出10,972.19万元，预算执行率73.</w:t>
      </w:r>
      <w:r>
        <w:rPr>
          <w:rFonts w:hint="eastAsia" w:ascii="方正仿宋_GBK" w:hAnsi="方正仿宋_GBK" w:eastAsia="方正仿宋_GBK" w:cs="方正仿宋_GBK"/>
          <w:color w:val="auto"/>
          <w:sz w:val="32"/>
          <w:szCs w:val="32"/>
          <w:highlight w:val="none"/>
          <w:lang w:val="en-US" w:eastAsia="zh-CN"/>
        </w:rPr>
        <w:t>18</w:t>
      </w:r>
      <w:r>
        <w:rPr>
          <w:rFonts w:hint="eastAsia" w:ascii="方正仿宋_GBK" w:hAnsi="方正仿宋_GBK" w:eastAsia="方正仿宋_GBK" w:cs="方正仿宋_GBK"/>
          <w:color w:val="auto"/>
          <w:sz w:val="32"/>
          <w:szCs w:val="32"/>
          <w:highlight w:val="none"/>
        </w:rPr>
        <w:t>%，严格按照上级下达和本级预算安排的金额执行，不存在执行数偏离预算数较多的问题。</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highlight w:val="none"/>
        </w:rPr>
        <w:t>6.预算绩效管理情况。落实全面实施预算绩效管理的要求，</w:t>
      </w:r>
      <w:r>
        <w:rPr>
          <w:rFonts w:hint="eastAsia" w:ascii="方正仿宋_GBK" w:hAnsi="方正仿宋_GBK" w:eastAsia="方正仿宋_GBK" w:cs="方正仿宋_GBK"/>
          <w:b w:val="0"/>
          <w:bCs w:val="0"/>
          <w:color w:val="auto"/>
          <w:sz w:val="32"/>
          <w:szCs w:val="32"/>
          <w:highlight w:val="none"/>
          <w:lang w:val="en-US" w:eastAsia="zh-CN"/>
        </w:rPr>
        <w:t>北京市逐年</w:t>
      </w:r>
      <w:r>
        <w:rPr>
          <w:rFonts w:hint="eastAsia" w:ascii="方正仿宋_GBK" w:hAnsi="方正仿宋_GBK" w:eastAsia="方正仿宋_GBK" w:cs="方正仿宋_GBK"/>
          <w:b w:val="0"/>
          <w:bCs w:val="0"/>
          <w:color w:val="auto"/>
          <w:sz w:val="32"/>
          <w:szCs w:val="32"/>
          <w:highlight w:val="none"/>
        </w:rPr>
        <w:t>对中央转移支付资金开展绩效自评，强化项目单位及各级管理部门责任意识、绩效意识，切实提高财政资金使用效益，确保资金安全规范使用，确保年度绩效目标如期实现。</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highlight w:val="none"/>
        </w:rPr>
        <w:t>7.支出责任履行情况。202</w:t>
      </w:r>
      <w:r>
        <w:rPr>
          <w:rFonts w:hint="eastAsia" w:ascii="方正仿宋_GBK" w:hAnsi="方正仿宋_GBK" w:eastAsia="方正仿宋_GBK" w:cs="方正仿宋_GBK"/>
          <w:b w:val="0"/>
          <w:bCs w:val="0"/>
          <w:color w:val="auto"/>
          <w:sz w:val="32"/>
          <w:szCs w:val="32"/>
          <w:highlight w:val="none"/>
          <w:lang w:val="en-US" w:eastAsia="zh-CN"/>
        </w:rPr>
        <w:t>4年</w:t>
      </w:r>
      <w:r>
        <w:rPr>
          <w:rFonts w:hint="eastAsia" w:ascii="方正仿宋_GBK" w:hAnsi="方正仿宋_GBK" w:eastAsia="方正仿宋_GBK" w:cs="方正仿宋_GBK"/>
          <w:b w:val="0"/>
          <w:bCs w:val="0"/>
          <w:color w:val="auto"/>
          <w:sz w:val="32"/>
          <w:szCs w:val="32"/>
          <w:highlight w:val="none"/>
        </w:rPr>
        <w:t>北京市</w:t>
      </w:r>
      <w:r>
        <w:rPr>
          <w:rFonts w:hint="eastAsia" w:ascii="方正仿宋_GBK" w:hAnsi="方正仿宋_GBK" w:eastAsia="方正仿宋_GBK" w:cs="方正仿宋_GBK"/>
          <w:b w:val="0"/>
          <w:bCs w:val="0"/>
          <w:color w:val="auto"/>
          <w:sz w:val="32"/>
          <w:szCs w:val="32"/>
          <w:highlight w:val="none"/>
          <w:lang w:val="en-US" w:eastAsia="zh-CN"/>
        </w:rPr>
        <w:t>按照</w:t>
      </w:r>
      <w:r>
        <w:rPr>
          <w:rFonts w:hint="eastAsia" w:ascii="方正仿宋_GBK" w:hAnsi="方正仿宋_GBK" w:eastAsia="方正仿宋_GBK" w:cs="方正仿宋_GBK"/>
          <w:b w:val="0"/>
          <w:bCs w:val="0"/>
          <w:color w:val="auto"/>
          <w:sz w:val="32"/>
          <w:szCs w:val="32"/>
          <w:highlight w:val="none"/>
        </w:rPr>
        <w:t>财政事权与支出责任划分相关规定</w:t>
      </w:r>
      <w:r>
        <w:rPr>
          <w:rFonts w:hint="eastAsia" w:ascii="方正仿宋_GBK" w:hAnsi="方正仿宋_GBK" w:eastAsia="方正仿宋_GBK" w:cs="方正仿宋_GBK"/>
          <w:b w:val="0"/>
          <w:bCs w:val="0"/>
          <w:color w:val="auto"/>
          <w:sz w:val="32"/>
          <w:szCs w:val="32"/>
          <w:highlight w:val="none"/>
          <w:lang w:eastAsia="zh-CN"/>
        </w:rPr>
        <w:t>，</w:t>
      </w:r>
      <w:r>
        <w:rPr>
          <w:rFonts w:hint="eastAsia" w:ascii="方正仿宋_GBK" w:hAnsi="方正仿宋_GBK" w:eastAsia="方正仿宋_GBK" w:cs="方正仿宋_GBK"/>
          <w:b w:val="0"/>
          <w:bCs w:val="0"/>
          <w:color w:val="auto"/>
          <w:sz w:val="32"/>
          <w:szCs w:val="32"/>
          <w:highlight w:val="none"/>
        </w:rPr>
        <w:t>足额安排资金履行了本级支出责任。</w:t>
      </w:r>
    </w:p>
    <w:p>
      <w:pPr>
        <w:keepNext w:val="0"/>
        <w:keepLines w:val="0"/>
        <w:pageBreakBefore w:val="0"/>
        <w:widowControl w:val="0"/>
        <w:tabs>
          <w:tab w:val="left" w:pos="312"/>
        </w:tabs>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8.政策目标实现情况。2024年，北京市总体绩效目标完成情况基本达标，整体完成情况较好，强化了文物保护利用，提升了文物安全水平，进一步促进了文物事业与经济社会和谐发展，完成年初设定的政策目标。</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hint="eastAsia" w:ascii="Times New Roman" w:hAnsi="Times New Roman" w:eastAsia="黑体" w:cs="Times New Roman"/>
          <w:b w:val="0"/>
          <w:bCs/>
          <w:color w:val="auto"/>
          <w:sz w:val="32"/>
          <w:szCs w:val="32"/>
          <w:highlight w:val="none"/>
        </w:rPr>
      </w:pPr>
      <w:r>
        <w:rPr>
          <w:rFonts w:hint="eastAsia" w:ascii="Times New Roman" w:hAnsi="Times New Roman" w:eastAsia="黑体" w:cs="Times New Roman"/>
          <w:b w:val="0"/>
          <w:bCs/>
          <w:color w:val="auto"/>
          <w:sz w:val="32"/>
          <w:szCs w:val="32"/>
          <w:highlight w:val="none"/>
          <w:lang w:val="en-US" w:eastAsia="zh-CN"/>
        </w:rPr>
        <w:t>二、</w:t>
      </w:r>
      <w:r>
        <w:rPr>
          <w:rFonts w:hint="eastAsia" w:ascii="Times New Roman" w:hAnsi="Times New Roman" w:eastAsia="黑体" w:cs="Times New Roman"/>
          <w:b w:val="0"/>
          <w:bCs/>
          <w:color w:val="auto"/>
          <w:sz w:val="32"/>
          <w:szCs w:val="32"/>
          <w:highlight w:val="none"/>
        </w:rPr>
        <w:t>绩效目标实现情况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楷体_GBK" w:hAnsi="方正楷体_GBK" w:eastAsia="方正楷体_GBK" w:cs="方正楷体_GBK"/>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（一）总体绩效目标完成情况分析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截至2024年12月31日，文保资金预算执行率</w:t>
      </w:r>
      <w:r>
        <w:rPr>
          <w:rFonts w:hint="eastAsia" w:ascii="方正仿宋_GBK" w:hAnsi="方正仿宋_GBK" w:eastAsia="方正仿宋_GBK" w:cs="方正仿宋_GBK"/>
          <w:color w:val="auto"/>
          <w:sz w:val="32"/>
          <w:szCs w:val="32"/>
          <w:highlight w:val="none"/>
        </w:rPr>
        <w:t>73.</w:t>
      </w:r>
      <w:r>
        <w:rPr>
          <w:rFonts w:hint="eastAsia" w:ascii="方正仿宋_GBK" w:hAnsi="方正仿宋_GBK" w:eastAsia="方正仿宋_GBK" w:cs="方正仿宋_GBK"/>
          <w:color w:val="auto"/>
          <w:sz w:val="32"/>
          <w:szCs w:val="32"/>
          <w:highlight w:val="none"/>
          <w:lang w:val="en-US" w:eastAsia="zh-CN"/>
        </w:rPr>
        <w:t>18</w:t>
      </w:r>
      <w:r>
        <w:rPr>
          <w:rFonts w:hint="eastAsia" w:ascii="方正仿宋_GBK" w:hAnsi="方正仿宋_GBK" w:eastAsia="方正仿宋_GBK" w:cs="方正仿宋_GBK"/>
          <w:color w:val="auto"/>
          <w:sz w:val="32"/>
          <w:szCs w:val="32"/>
          <w:highlight w:val="none"/>
        </w:rPr>
        <w:t>%</w:t>
      </w:r>
      <w:r>
        <w:rPr>
          <w:rFonts w:hint="eastAsia" w:ascii="方正仿宋_GBK" w:hAnsi="方正仿宋_GBK" w:eastAsia="方正仿宋_GBK" w:cs="方正仿宋_GBK"/>
          <w:color w:val="auto"/>
          <w:sz w:val="32"/>
          <w:szCs w:val="32"/>
          <w:highlight w:val="none"/>
          <w:lang w:eastAsia="zh-CN"/>
        </w:rPr>
        <w:t>（含上年结转资金），结合当年项目资金到位时间和进度分析，总体绩效目标完成情况基本达标，整体完成情况较好，强化了文物保护利用，提升了文物安全水平，进一步促进了文物事业与经济社会和谐发展。</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2024年度通过项目实施有效提升了文物保护与利用水平。北京市具体执行情况如下：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eastAsia="zh-CN"/>
        </w:rPr>
        <w:t>全年实施项目共33</w:t>
      </w:r>
      <w:r>
        <w:rPr>
          <w:rFonts w:hint="eastAsia" w:ascii="方正仿宋_GBK" w:hAnsi="方正仿宋_GBK" w:eastAsia="方正仿宋_GBK" w:cs="方正仿宋_GBK"/>
          <w:color w:val="auto"/>
          <w:sz w:val="32"/>
          <w:szCs w:val="32"/>
          <w:highlight w:val="none"/>
          <w:lang w:val="en-US" w:eastAsia="zh-CN"/>
        </w:rPr>
        <w:t>个</w:t>
      </w:r>
      <w:r>
        <w:rPr>
          <w:rFonts w:hint="eastAsia" w:ascii="方正仿宋_GBK" w:hAnsi="方正仿宋_GBK" w:eastAsia="方正仿宋_GBK" w:cs="方正仿宋_GBK"/>
          <w:color w:val="auto"/>
          <w:sz w:val="32"/>
          <w:szCs w:val="32"/>
          <w:highlight w:val="none"/>
          <w:lang w:eastAsia="zh-CN"/>
        </w:rPr>
        <w:t>（含上年结转项目9项），其中已完成1</w:t>
      </w:r>
      <w:r>
        <w:rPr>
          <w:rFonts w:hint="eastAsia" w:ascii="方正仿宋_GBK" w:hAnsi="方正仿宋_GBK" w:eastAsia="方正仿宋_GBK" w:cs="方正仿宋_GBK"/>
          <w:color w:val="auto"/>
          <w:sz w:val="32"/>
          <w:szCs w:val="32"/>
          <w:highlight w:val="none"/>
          <w:lang w:val="en-US" w:eastAsia="zh-CN"/>
        </w:rPr>
        <w:t>2个</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实施中的项目</w:t>
      </w:r>
      <w:r>
        <w:rPr>
          <w:rFonts w:hint="eastAsia" w:ascii="方正仿宋_GBK" w:hAnsi="方正仿宋_GBK" w:eastAsia="方正仿宋_GBK" w:cs="方正仿宋_GBK"/>
          <w:color w:val="auto"/>
          <w:sz w:val="32"/>
          <w:szCs w:val="32"/>
          <w:highlight w:val="none"/>
          <w:lang w:eastAsia="zh-CN"/>
        </w:rPr>
        <w:t>2</w:t>
      </w:r>
      <w:r>
        <w:rPr>
          <w:rFonts w:hint="eastAsia" w:ascii="方正仿宋_GBK" w:hAnsi="方正仿宋_GBK" w:eastAsia="方正仿宋_GBK" w:cs="方正仿宋_GBK"/>
          <w:color w:val="auto"/>
          <w:sz w:val="32"/>
          <w:szCs w:val="32"/>
          <w:highlight w:val="none"/>
          <w:lang w:val="en-US" w:eastAsia="zh-CN"/>
        </w:rPr>
        <w:t>1个</w:t>
      </w:r>
      <w:r>
        <w:rPr>
          <w:rFonts w:hint="eastAsia" w:ascii="方正仿宋_GBK" w:hAnsi="方正仿宋_GBK" w:eastAsia="方正仿宋_GBK" w:cs="方正仿宋_GBK"/>
          <w:color w:val="auto"/>
          <w:sz w:val="32"/>
          <w:szCs w:val="32"/>
          <w:highlight w:val="none"/>
          <w:lang w:eastAsia="zh-CN"/>
        </w:rPr>
        <w:t>。项目类别及构成：</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sz w:val="32"/>
          <w:szCs w:val="32"/>
          <w:highlight w:val="none"/>
          <w:lang w:val="en-US" w:eastAsia="zh-CN"/>
        </w:rPr>
        <w:t>1）</w:t>
      </w:r>
      <w:r>
        <w:rPr>
          <w:rFonts w:hint="eastAsia" w:ascii="方正仿宋_GBK" w:hAnsi="方正仿宋_GBK" w:eastAsia="方正仿宋_GBK" w:cs="方正仿宋_GBK"/>
          <w:color w:val="auto"/>
          <w:sz w:val="32"/>
          <w:szCs w:val="32"/>
          <w:highlight w:val="none"/>
          <w:lang w:eastAsia="zh-CN"/>
        </w:rPr>
        <w:t>文物保护类项目：30</w:t>
      </w:r>
      <w:r>
        <w:rPr>
          <w:rFonts w:hint="eastAsia" w:ascii="方正仿宋_GBK" w:hAnsi="方正仿宋_GBK" w:eastAsia="方正仿宋_GBK" w:cs="方正仿宋_GBK"/>
          <w:color w:val="auto"/>
          <w:sz w:val="32"/>
          <w:szCs w:val="32"/>
          <w:highlight w:val="none"/>
          <w:lang w:val="en-US" w:eastAsia="zh-CN"/>
        </w:rPr>
        <w:t>个</w:t>
      </w:r>
      <w:r>
        <w:rPr>
          <w:rFonts w:hint="eastAsia" w:ascii="方正仿宋_GBK" w:hAnsi="方正仿宋_GBK" w:eastAsia="方正仿宋_GBK" w:cs="方正仿宋_GBK"/>
          <w:color w:val="auto"/>
          <w:sz w:val="32"/>
          <w:szCs w:val="32"/>
          <w:highlight w:val="none"/>
          <w:lang w:eastAsia="zh-CN"/>
        </w:rPr>
        <w:t>（含上年结转8</w:t>
      </w:r>
      <w:r>
        <w:rPr>
          <w:rFonts w:hint="eastAsia" w:ascii="方正仿宋_GBK" w:hAnsi="方正仿宋_GBK" w:eastAsia="方正仿宋_GBK" w:cs="方正仿宋_GBK"/>
          <w:color w:val="auto"/>
          <w:sz w:val="32"/>
          <w:szCs w:val="32"/>
          <w:highlight w:val="none"/>
          <w:lang w:val="en-US" w:eastAsia="zh-CN"/>
        </w:rPr>
        <w:t>个</w:t>
      </w:r>
      <w:r>
        <w:rPr>
          <w:rFonts w:hint="eastAsia" w:ascii="方正仿宋_GBK" w:hAnsi="方正仿宋_GBK" w:eastAsia="方正仿宋_GBK" w:cs="方正仿宋_GBK"/>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640" w:firstLineChars="200"/>
        <w:jc w:val="both"/>
        <w:textAlignment w:val="auto"/>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2）</w:t>
      </w:r>
      <w:r>
        <w:rPr>
          <w:rFonts w:hint="eastAsia" w:ascii="方正仿宋_GBK" w:hAnsi="方正仿宋_GBK" w:eastAsia="方正仿宋_GBK" w:cs="方正仿宋_GBK"/>
          <w:color w:val="auto"/>
          <w:sz w:val="32"/>
          <w:szCs w:val="32"/>
          <w:highlight w:val="none"/>
          <w:lang w:eastAsia="zh-CN"/>
        </w:rPr>
        <w:t>考古研究类项目：1</w:t>
      </w:r>
      <w:r>
        <w:rPr>
          <w:rFonts w:hint="eastAsia" w:ascii="方正仿宋_GBK" w:hAnsi="方正仿宋_GBK" w:eastAsia="方正仿宋_GBK" w:cs="方正仿宋_GBK"/>
          <w:color w:val="auto"/>
          <w:sz w:val="32"/>
          <w:szCs w:val="32"/>
          <w:highlight w:val="none"/>
          <w:lang w:val="en-US" w:eastAsia="zh-CN"/>
        </w:rPr>
        <w:t>个；</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Times New Roman" w:hAnsi="Times New Roman" w:eastAsia="黑体" w:cs="Times New Roman"/>
          <w:b w:val="0"/>
          <w:bCs/>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3）</w:t>
      </w:r>
      <w:r>
        <w:rPr>
          <w:rFonts w:hint="eastAsia" w:ascii="方正仿宋_GBK" w:hAnsi="方正仿宋_GBK" w:eastAsia="方正仿宋_GBK" w:cs="方正仿宋_GBK"/>
          <w:color w:val="auto"/>
          <w:sz w:val="32"/>
          <w:szCs w:val="32"/>
          <w:highlight w:val="none"/>
          <w:lang w:eastAsia="zh-CN"/>
        </w:rPr>
        <w:t>可移动文物保护类项目：2</w:t>
      </w:r>
      <w:r>
        <w:rPr>
          <w:rFonts w:hint="eastAsia" w:ascii="方正仿宋_GBK" w:hAnsi="方正仿宋_GBK" w:eastAsia="方正仿宋_GBK" w:cs="方正仿宋_GBK"/>
          <w:color w:val="auto"/>
          <w:sz w:val="32"/>
          <w:szCs w:val="32"/>
          <w:highlight w:val="none"/>
          <w:lang w:val="en-US" w:eastAsia="zh-CN"/>
        </w:rPr>
        <w:t>个</w:t>
      </w:r>
      <w:r>
        <w:rPr>
          <w:rFonts w:hint="eastAsia" w:ascii="方正仿宋_GBK" w:hAnsi="方正仿宋_GBK" w:eastAsia="方正仿宋_GBK" w:cs="方正仿宋_GBK"/>
          <w:color w:val="auto"/>
          <w:sz w:val="32"/>
          <w:szCs w:val="32"/>
          <w:highlight w:val="none"/>
          <w:lang w:eastAsia="zh-CN"/>
        </w:rPr>
        <w:t>（含上年结转1</w:t>
      </w:r>
      <w:r>
        <w:rPr>
          <w:rFonts w:hint="eastAsia" w:ascii="方正仿宋_GBK" w:hAnsi="方正仿宋_GBK" w:eastAsia="方正仿宋_GBK" w:cs="方正仿宋_GBK"/>
          <w:color w:val="auto"/>
          <w:sz w:val="32"/>
          <w:szCs w:val="32"/>
          <w:highlight w:val="none"/>
          <w:lang w:val="en-US" w:eastAsia="zh-CN"/>
        </w:rPr>
        <w:t>个</w:t>
      </w:r>
      <w:r>
        <w:rPr>
          <w:rFonts w:hint="eastAsia" w:ascii="方正仿宋_GBK" w:hAnsi="方正仿宋_GBK" w:eastAsia="方正仿宋_GBK" w:cs="方正仿宋_GBK"/>
          <w:color w:val="auto"/>
          <w:sz w:val="32"/>
          <w:szCs w:val="32"/>
          <w:highlight w:val="none"/>
          <w:lang w:eastAsia="zh-CN"/>
        </w:rPr>
        <w:t>）</w:t>
      </w:r>
      <w:r>
        <w:rPr>
          <w:rFonts w:hint="eastAsia" w:ascii="方正仿宋_GBK" w:hAnsi="方正仿宋_GBK" w:eastAsia="方正仿宋_GBK" w:cs="方正仿宋_GBK"/>
          <w:color w:val="auto"/>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1"/>
        <w:rPr>
          <w:rFonts w:hint="eastAsia" w:ascii="方正楷体_GBK" w:hAnsi="方正楷体_GBK" w:eastAsia="方正楷体_GBK" w:cs="方正楷体_GBK"/>
          <w:b w:val="0"/>
          <w:bCs/>
          <w:color w:val="auto"/>
          <w:sz w:val="32"/>
          <w:szCs w:val="32"/>
          <w:highlight w:val="none"/>
          <w:lang w:val="en-US" w:eastAsia="zh-CN"/>
        </w:rPr>
      </w:pPr>
      <w:r>
        <w:rPr>
          <w:rFonts w:hint="eastAsia" w:ascii="方正楷体_GBK" w:hAnsi="方正楷体_GBK" w:eastAsia="方正楷体_GBK" w:cs="方正楷体_GBK"/>
          <w:b w:val="0"/>
          <w:bCs/>
          <w:color w:val="auto"/>
          <w:sz w:val="32"/>
          <w:szCs w:val="32"/>
          <w:highlight w:val="none"/>
          <w:lang w:val="en-US" w:eastAsia="zh-CN"/>
        </w:rPr>
        <w:t>（二）绩效指标完成情况分析</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sz w:val="32"/>
          <w:szCs w:val="32"/>
          <w:highlight w:val="none"/>
        </w:rPr>
        <w:t>1.产出指标完成情况分析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3"/>
        <w:rPr>
          <w:rFonts w:hint="eastAsia" w:ascii="方正仿宋_GBK" w:hAnsi="方正仿宋_GBK" w:eastAsia="方正仿宋_GBK" w:cs="方正仿宋_GBK"/>
          <w:b w:val="0"/>
          <w:bCs w:val="0"/>
          <w:color w:val="auto"/>
          <w:sz w:val="32"/>
          <w:szCs w:val="32"/>
          <w:highlight w:val="none"/>
        </w:rPr>
      </w:pPr>
      <w:r>
        <w:rPr>
          <w:rFonts w:hint="eastAsia" w:ascii="方正仿宋_GBK" w:hAnsi="方正仿宋_GBK" w:eastAsia="方正仿宋_GBK" w:cs="方正仿宋_GBK"/>
          <w:b w:val="0"/>
          <w:bCs w:val="0"/>
          <w:color w:val="auto"/>
          <w:kern w:val="2"/>
          <w:sz w:val="32"/>
          <w:szCs w:val="32"/>
          <w:highlight w:val="none"/>
          <w:lang w:val="en-US" w:eastAsia="zh-CN" w:bidi="ar-SA"/>
        </w:rPr>
        <w:t>（1）</w:t>
      </w:r>
      <w:r>
        <w:rPr>
          <w:rFonts w:hint="eastAsia" w:ascii="方正仿宋_GBK" w:hAnsi="方正仿宋_GBK" w:eastAsia="方正仿宋_GBK" w:cs="方正仿宋_GBK"/>
          <w:b w:val="0"/>
          <w:bCs w:val="0"/>
          <w:color w:val="auto"/>
          <w:sz w:val="32"/>
          <w:szCs w:val="32"/>
          <w:highlight w:val="none"/>
        </w:rPr>
        <w:t>产出数量指标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1：支持全国重点文物保护单位文物保护项目重点项目指标值为1个，全年实际完成值1个，即：北京市昌平区明十三陵管理中心“明十三陵景陵保护修缮工程”项目。该项目为跨年实施项目，实施周期为2024年4月至2025年6月。2024年，该项目收到文保资金1,600.00万元，于3月18日签订施工及监理合同，4月12日完成设计交底并正式开工。截至2024年底，项目整体进度已完成80%，已支付首付款及进度款共计1,600.00万元，按计划完成了年初设定的目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2：当年确认列入支持范围的国保单位保护利用规划实现率指标值为≥98%，实际完成值为100%，按计划完成年初目标设定。本年度申报列入支持范围的国保单位保护利用规划，均通过国家文物局审核，实现率100%，超额完成预定目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3：省级及省级以下文物保护项目预算占一般项目补助的比重指标值为≤15%，实际完成值为0.87%，按计划完成年初目标设定。具体情况为：2024年度文物保护一般性补助项目共安排资金9,642.00万元，支持项目23个，其中省级文物保护单位项目1个（禄米仓1、2、3号仓廒修缮工程），安排资金84.00万元，占比0.87%，符合“严格控制省级以下项目资金比例”的工作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4：数字化保护支出预算占一般项目补助的比重指标值为≤10%，实际完成值为0，按计划完成年初目标设定。具体情况为：根据2024年度按照一般项目预算优先用于革命文物、石窟寺文物、考古、国家文化公园建设相关文物保护等项目的原则，本年度一般性补助项目中未安排数字化保护专项，资金占比0%，符合既定管控目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3"/>
        <w:rPr>
          <w:rFonts w:hint="eastAsia" w:ascii="方正仿宋_GBK" w:hAnsi="方正仿宋_GBK" w:eastAsia="方正仿宋_GBK" w:cs="方正仿宋_GBK"/>
          <w:color w:val="auto"/>
          <w:sz w:val="32"/>
          <w:szCs w:val="32"/>
          <w:highlight w:val="none"/>
          <w:lang w:eastAsia="zh-CN"/>
        </w:rPr>
      </w:pPr>
      <w:r>
        <w:rPr>
          <w:rFonts w:hint="eastAsia" w:ascii="方正仿宋_GBK" w:hAnsi="方正仿宋_GBK" w:eastAsia="方正仿宋_GBK" w:cs="方正仿宋_GBK"/>
          <w:color w:val="auto"/>
          <w:kern w:val="2"/>
          <w:sz w:val="32"/>
          <w:szCs w:val="32"/>
          <w:highlight w:val="none"/>
          <w:lang w:val="en-US" w:eastAsia="zh-CN" w:bidi="ar-SA"/>
        </w:rPr>
        <w:t>（2）</w:t>
      </w:r>
      <w:r>
        <w:rPr>
          <w:rFonts w:hint="eastAsia" w:ascii="方正仿宋_GBK" w:hAnsi="方正仿宋_GBK" w:eastAsia="方正仿宋_GBK" w:cs="方正仿宋_GBK"/>
          <w:color w:val="auto"/>
          <w:sz w:val="32"/>
          <w:szCs w:val="32"/>
          <w:highlight w:val="none"/>
          <w:lang w:eastAsia="zh-CN"/>
        </w:rPr>
        <w:t>产出质量指标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1：当年确认列入支持范围的国保单位“四有”工作实现率指标值为≥98%，实际完成值为100%，按计划完成年初目标设定。具体情况为：北京市2024年扎实做好文物“四有”工作（有保护范围、有保护标志、有记录档案、有保管机构），全国重点文物保护单位和省级文物保护单位“四有”工作完成率为100%。</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yellow"/>
          <w:lang w:val="en-US" w:eastAsia="zh-CN"/>
        </w:rPr>
      </w:pPr>
      <w:r>
        <w:rPr>
          <w:rFonts w:hint="eastAsia" w:ascii="方正仿宋_GBK" w:hAnsi="方正仿宋_GBK" w:eastAsia="方正仿宋_GBK" w:cs="方正仿宋_GBK"/>
          <w:color w:val="auto"/>
          <w:sz w:val="32"/>
          <w:szCs w:val="32"/>
          <w:highlight w:val="none"/>
          <w:lang w:val="en-US" w:eastAsia="zh-CN"/>
        </w:rPr>
        <w:t>指标2：项目验收合格率指标值为≥98%，实际完成值为100%，按计划完成年初目标设定。具体情况为：2024年北京市支持的12个已完工项目均已完成验收且验收合格。</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157" w:beforeLines="50"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指标3：</w:t>
      </w:r>
      <w:r>
        <w:rPr>
          <w:rFonts w:hint="eastAsia" w:ascii="方正仿宋_GBK" w:hAnsi="方正仿宋_GBK" w:eastAsia="方正仿宋_GBK" w:cs="方正仿宋_GBK"/>
          <w:color w:val="auto"/>
          <w:sz w:val="32"/>
          <w:szCs w:val="32"/>
          <w:highlight w:val="none"/>
          <w:lang w:eastAsia="zh-CN"/>
        </w:rPr>
        <w:t>安全事故发生率</w:t>
      </w:r>
      <w:r>
        <w:rPr>
          <w:rFonts w:hint="eastAsia" w:ascii="方正仿宋_GBK" w:hAnsi="方正仿宋_GBK" w:eastAsia="方正仿宋_GBK" w:cs="方正仿宋_GBK"/>
          <w:color w:val="auto"/>
          <w:sz w:val="32"/>
          <w:szCs w:val="32"/>
          <w:highlight w:val="none"/>
          <w:lang w:val="en-US" w:eastAsia="zh-CN"/>
        </w:rPr>
        <w:t>指标值为</w:t>
      </w:r>
      <w:r>
        <w:rPr>
          <w:rFonts w:hint="eastAsia" w:ascii="方正仿宋_GBK" w:hAnsi="方正仿宋_GBK" w:eastAsia="方正仿宋_GBK" w:cs="方正仿宋_GBK"/>
          <w:color w:val="auto"/>
          <w:sz w:val="32"/>
          <w:szCs w:val="32"/>
          <w:highlight w:val="none"/>
          <w:lang w:eastAsia="zh-CN"/>
        </w:rPr>
        <w:t>≤0.5‰，</w:t>
      </w:r>
      <w:r>
        <w:rPr>
          <w:rFonts w:hint="eastAsia" w:ascii="方正仿宋_GBK" w:hAnsi="方正仿宋_GBK" w:eastAsia="方正仿宋_GBK" w:cs="方正仿宋_GBK"/>
          <w:color w:val="auto"/>
          <w:sz w:val="32"/>
          <w:szCs w:val="32"/>
          <w:highlight w:val="none"/>
          <w:lang w:val="en-US" w:eastAsia="zh-CN"/>
        </w:rPr>
        <w:t>实际完成值为0，按计划完成年初目标设定。2024年北京市高度重视文物安全工作，始终把文物安全摆在首位，狠抓责任落实，完善制度机制，强化安全措施，从根本上消除事故隐患，有效遏制重特大事故发生，本次评价时未发现安全事故。</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指标4：国保单位的重大险情排除率指标值为≥90%，实际完成值为100%，按计划完成年初目标设定。2024年北京市加强管理，做好修缮后相关文物的日常养护工作，及时发现和排除隐患，确保文物安全。</w:t>
      </w:r>
    </w:p>
    <w:p>
      <w:pPr>
        <w:keepNext w:val="0"/>
        <w:keepLines w:val="0"/>
        <w:pageBreakBefore w:val="0"/>
        <w:widowControl w:val="0"/>
        <w:numPr>
          <w:ilvl w:val="-1"/>
          <w:numId w:val="0"/>
        </w:numPr>
        <w:kinsoku/>
        <w:wordWrap/>
        <w:overflowPunct/>
        <w:topLinePunct w:val="0"/>
        <w:autoSpaceDE/>
        <w:autoSpaceDN/>
        <w:bidi w:val="0"/>
        <w:adjustRightInd w:val="0"/>
        <w:snapToGrid w:val="0"/>
        <w:spacing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5：馆藏珍贵文物和重要出土文物的抢救性保护修复率指标值为≥90%，实际完成值为100%，按计划完成年初目标设定。2024年北京市支持馆藏珍贵文物保护项目1个，即：香山革命纪念馆“2023年香山革命纪念馆馆藏珍贵文物保护项目”，完成2件（套）珍贵可移动文物技术修复，同步建立3件（套）标准化修复档案及2套结项报告，</w:t>
      </w:r>
      <w:r>
        <w:rPr>
          <w:rFonts w:hint="default" w:ascii="Times New Roman" w:hAnsi="Times New Roman" w:eastAsia="仿宋_GB2312" w:cs="Times New Roman"/>
          <w:color w:val="auto"/>
          <w:sz w:val="32"/>
          <w:szCs w:val="32"/>
          <w:highlight w:val="none"/>
          <w:lang w:val="en-US" w:eastAsia="zh-CN"/>
        </w:rPr>
        <w:t>达成数量指标。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指标6：文物损毁、违规修复发生率指标值为≤0.5‰，实际完成值为0，本次评价时，北京市未发现文物损毁、违规修复的情况，按计划完成年初目标设定。</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3"/>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kern w:val="2"/>
          <w:sz w:val="32"/>
          <w:szCs w:val="32"/>
          <w:highlight w:val="none"/>
          <w:lang w:val="en-US" w:eastAsia="zh-CN" w:bidi="ar-SA"/>
        </w:rPr>
        <w:t>（3）</w:t>
      </w:r>
      <w:r>
        <w:rPr>
          <w:rFonts w:hint="eastAsia" w:ascii="方正仿宋_GBK" w:hAnsi="方正仿宋_GBK" w:eastAsia="方正仿宋_GBK" w:cs="方正仿宋_GBK"/>
          <w:color w:val="auto"/>
          <w:sz w:val="32"/>
          <w:szCs w:val="32"/>
          <w:highlight w:val="none"/>
          <w:lang w:eastAsia="zh-CN"/>
        </w:rPr>
        <w:t>时效指标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eastAsia" w:ascii="方正仿宋_GBK" w:hAnsi="方正仿宋_GBK" w:eastAsia="方正仿宋_GBK" w:cs="方正仿宋_GBK"/>
          <w:color w:val="auto"/>
          <w:kern w:val="2"/>
          <w:sz w:val="32"/>
          <w:szCs w:val="32"/>
          <w:highlight w:val="none"/>
          <w:lang w:val="en-US" w:eastAsia="zh-CN" w:bidi="ar-SA"/>
        </w:rPr>
      </w:pPr>
      <w:r>
        <w:rPr>
          <w:rFonts w:hint="eastAsia" w:ascii="方正仿宋_GBK" w:hAnsi="方正仿宋_GBK" w:eastAsia="方正仿宋_GBK" w:cs="方正仿宋_GBK"/>
          <w:color w:val="auto"/>
          <w:sz w:val="32"/>
          <w:szCs w:val="32"/>
          <w:highlight w:val="none"/>
          <w:lang w:eastAsia="zh-CN"/>
        </w:rPr>
        <w:t>财政部下达的绩效目标未设定时效指标。</w:t>
      </w:r>
      <w:r>
        <w:rPr>
          <w:rFonts w:hint="eastAsia" w:ascii="方正仿宋_GBK" w:hAnsi="方正仿宋_GBK" w:eastAsia="方正仿宋_GBK" w:cs="方正仿宋_GBK"/>
          <w:color w:val="auto"/>
          <w:sz w:val="32"/>
          <w:szCs w:val="32"/>
          <w:highlight w:val="none"/>
          <w:lang w:val="en-US" w:eastAsia="zh-CN"/>
        </w:rPr>
        <w:t>但</w:t>
      </w:r>
      <w:r>
        <w:rPr>
          <w:rFonts w:hint="eastAsia" w:ascii="方正仿宋_GBK" w:hAnsi="方正仿宋_GBK" w:eastAsia="方正仿宋_GBK" w:cs="方正仿宋_GBK"/>
          <w:color w:val="auto"/>
          <w:sz w:val="32"/>
          <w:szCs w:val="32"/>
          <w:highlight w:val="none"/>
          <w:lang w:eastAsia="zh-CN"/>
        </w:rPr>
        <w:t>结合项目执行状态来看，</w:t>
      </w:r>
      <w:r>
        <w:rPr>
          <w:rFonts w:hint="eastAsia" w:ascii="方正仿宋_GBK" w:hAnsi="方正仿宋_GBK" w:eastAsia="方正仿宋_GBK" w:cs="方正仿宋_GBK"/>
          <w:color w:val="auto"/>
          <w:sz w:val="32"/>
          <w:szCs w:val="32"/>
          <w:highlight w:val="none"/>
          <w:lang w:val="en-US" w:eastAsia="zh-CN"/>
        </w:rPr>
        <w:t>2024年度文保资金支持的33个项目中，已完成</w:t>
      </w:r>
      <w:r>
        <w:rPr>
          <w:rFonts w:hint="eastAsia" w:ascii="方正仿宋_GBK" w:hAnsi="方正仿宋_GBK" w:eastAsia="方正仿宋_GBK" w:cs="方正仿宋_GBK"/>
          <w:color w:val="auto"/>
          <w:kern w:val="2"/>
          <w:sz w:val="32"/>
          <w:szCs w:val="32"/>
          <w:highlight w:val="none"/>
          <w:lang w:val="en-US" w:eastAsia="zh-CN" w:bidi="ar-SA"/>
        </w:rPr>
        <w:t>项目12个，正在实施项目21个。</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3"/>
        <w:rPr>
          <w:rFonts w:hint="default" w:ascii="Times New Roman" w:hAnsi="Times New Roman" w:eastAsia="仿宋_GB2312" w:cs="Times New Roman"/>
          <w:b/>
          <w:bCs/>
          <w:color w:val="auto"/>
          <w:sz w:val="32"/>
          <w:szCs w:val="32"/>
          <w:highlight w:val="none"/>
          <w:lang w:val="en-US" w:eastAsia="zh-CN"/>
        </w:rPr>
      </w:pPr>
      <w:r>
        <w:rPr>
          <w:rFonts w:hint="eastAsia" w:ascii="方正仿宋_GBK" w:hAnsi="方正仿宋_GBK" w:eastAsia="方正仿宋_GBK" w:cs="方正仿宋_GBK"/>
          <w:color w:val="auto"/>
          <w:kern w:val="2"/>
          <w:sz w:val="32"/>
          <w:szCs w:val="32"/>
          <w:highlight w:val="none"/>
          <w:lang w:val="en-US" w:eastAsia="zh-CN" w:bidi="ar-SA"/>
        </w:rPr>
        <w:t>（4）成</w:t>
      </w:r>
      <w:r>
        <w:rPr>
          <w:rFonts w:hint="eastAsia" w:ascii="方正仿宋_GBK" w:hAnsi="方正仿宋_GBK" w:eastAsia="方正仿宋_GBK" w:cs="方正仿宋_GBK"/>
          <w:color w:val="auto"/>
          <w:sz w:val="32"/>
          <w:szCs w:val="32"/>
          <w:highlight w:val="none"/>
          <w:lang w:val="en-US" w:eastAsia="zh-CN"/>
        </w:rPr>
        <w:t>本</w:t>
      </w:r>
      <w:r>
        <w:rPr>
          <w:rFonts w:hint="eastAsia" w:ascii="方正仿宋_GBK" w:hAnsi="方正仿宋_GBK" w:eastAsia="方正仿宋_GBK" w:cs="方正仿宋_GBK"/>
          <w:color w:val="auto"/>
          <w:sz w:val="32"/>
          <w:szCs w:val="32"/>
          <w:highlight w:val="none"/>
          <w:lang w:eastAsia="zh-CN"/>
        </w:rPr>
        <w:t>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default" w:ascii="Times New Roman" w:hAnsi="Times New Roman" w:eastAsia="仿宋_GB2312" w:cs="Times New Roman"/>
          <w:b/>
          <w:bCs/>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eastAsia="zh-CN"/>
        </w:rPr>
        <w:t>财政部下达的绩效目标未设定成本指标。</w:t>
      </w:r>
      <w:r>
        <w:rPr>
          <w:rFonts w:hint="eastAsia" w:ascii="方正仿宋_GBK" w:hAnsi="方正仿宋_GBK" w:eastAsia="方正仿宋_GBK" w:cs="方正仿宋_GBK"/>
          <w:color w:val="auto"/>
          <w:sz w:val="32"/>
          <w:szCs w:val="32"/>
          <w:highlight w:val="none"/>
          <w:lang w:val="en-US" w:eastAsia="zh-CN"/>
        </w:rPr>
        <w:t>但</w:t>
      </w:r>
      <w:r>
        <w:rPr>
          <w:rFonts w:hint="eastAsia" w:ascii="方正仿宋_GBK" w:hAnsi="方正仿宋_GBK" w:eastAsia="方正仿宋_GBK" w:cs="方正仿宋_GBK"/>
          <w:color w:val="auto"/>
          <w:sz w:val="32"/>
          <w:szCs w:val="32"/>
          <w:highlight w:val="none"/>
          <w:lang w:eastAsia="zh-CN"/>
        </w:rPr>
        <w:t>结合项目成本支出情况来看，</w:t>
      </w:r>
      <w:r>
        <w:rPr>
          <w:rFonts w:hint="eastAsia" w:ascii="方正仿宋_GBK" w:hAnsi="方正仿宋_GBK" w:eastAsia="方正仿宋_GBK" w:cs="方正仿宋_GBK"/>
          <w:color w:val="auto"/>
          <w:sz w:val="32"/>
          <w:szCs w:val="32"/>
          <w:highlight w:val="none"/>
          <w:lang w:val="en-US" w:eastAsia="zh-CN"/>
        </w:rPr>
        <w:t>2024年度文保资金支持的33个项目中，9个已完工项目通过政府采购、结项评审等管理措施，共节约成本344.48万元，结余资金已全额上缴。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方正仿宋_GBK" w:hAnsi="方正仿宋_GBK" w:eastAsia="方正仿宋_GBK" w:cs="方正仿宋_GBK"/>
          <w:b w:val="0"/>
          <w:bCs w:val="0"/>
          <w:color w:val="auto"/>
          <w:sz w:val="32"/>
          <w:szCs w:val="32"/>
          <w:highlight w:val="none"/>
          <w:lang w:val="en-US" w:eastAsia="zh-CN"/>
        </w:rPr>
      </w:pPr>
      <w:r>
        <w:rPr>
          <w:rFonts w:hint="eastAsia" w:ascii="方正仿宋_GBK" w:hAnsi="方正仿宋_GBK" w:eastAsia="方正仿宋_GBK" w:cs="方正仿宋_GBK"/>
          <w:b w:val="0"/>
          <w:bCs w:val="0"/>
          <w:color w:val="auto"/>
          <w:sz w:val="32"/>
          <w:szCs w:val="32"/>
          <w:highlight w:val="none"/>
          <w:lang w:val="en-US" w:eastAsia="zh-CN"/>
        </w:rPr>
        <w:t>2.效益指标完成情况分析</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line="360" w:lineRule="auto"/>
        <w:ind w:left="0" w:leftChars="0" w:firstLine="640" w:firstLineChars="200"/>
        <w:textAlignment w:val="auto"/>
        <w:outlineLvl w:val="3"/>
        <w:rPr>
          <w:rFonts w:hint="eastAsia" w:ascii="方正仿宋_GBK" w:hAnsi="方正仿宋_GBK" w:eastAsia="方正仿宋_GBK" w:cs="方正仿宋_GBK"/>
          <w:color w:val="auto"/>
          <w:kern w:val="2"/>
          <w:sz w:val="32"/>
          <w:szCs w:val="32"/>
          <w:highlight w:val="none"/>
          <w:lang w:val="en-US" w:eastAsia="zh-CN" w:bidi="ar-SA"/>
        </w:rPr>
      </w:pPr>
      <w:r>
        <w:rPr>
          <w:rFonts w:hint="eastAsia" w:ascii="方正仿宋_GBK" w:hAnsi="方正仿宋_GBK" w:eastAsia="方正仿宋_GBK" w:cs="方正仿宋_GBK"/>
          <w:color w:val="auto"/>
          <w:kern w:val="2"/>
          <w:sz w:val="32"/>
          <w:szCs w:val="32"/>
          <w:highlight w:val="none"/>
          <w:lang w:val="en-US" w:eastAsia="zh-CN" w:bidi="ar-SA"/>
        </w:rPr>
        <w:t>（1）社会效益指标</w:t>
      </w:r>
    </w:p>
    <w:p>
      <w:pPr>
        <w:keepNext w:val="0"/>
        <w:keepLines w:val="0"/>
        <w:pageBreakBefore w:val="0"/>
        <w:widowControl w:val="0"/>
        <w:kinsoku/>
        <w:wordWrap/>
        <w:overflowPunct/>
        <w:topLinePunct w:val="0"/>
        <w:autoSpaceDE/>
        <w:autoSpaceDN/>
        <w:bidi w:val="0"/>
        <w:adjustRightInd w:val="0"/>
        <w:snapToGrid w:val="0"/>
        <w:spacing w:beforeLines="0"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rPr>
      </w:pPr>
      <w:r>
        <w:rPr>
          <w:rFonts w:hint="eastAsia" w:ascii="方正仿宋_GBK" w:hAnsi="方正仿宋_GBK" w:eastAsia="方正仿宋_GBK" w:cs="方正仿宋_GBK"/>
          <w:color w:val="auto"/>
          <w:sz w:val="32"/>
          <w:szCs w:val="32"/>
          <w:highlight w:val="none"/>
          <w:lang w:val="en-US" w:eastAsia="zh-CN"/>
        </w:rPr>
        <w:t>本年度文物保护工程聚焦文物保护修缮、馆藏文物修复、考古研究及安防体系升级等方面，累计实施33个项目，推动文化遗产保护事业取得显著社会效益，有效提升了国家文物保护水平与全民文物保护意识</w:t>
      </w:r>
      <w:r>
        <w:rPr>
          <w:rFonts w:hint="eastAsia" w:ascii="方正仿宋_GBK" w:hAnsi="方正仿宋_GBK" w:eastAsia="方正仿宋_GBK" w:cs="方正仿宋_GBK"/>
          <w:color w:val="auto"/>
          <w:sz w:val="32"/>
          <w:szCs w:val="32"/>
          <w:highlight w:val="none"/>
        </w:rPr>
        <w:t>。例如，北京市昌平区明十三陵管理中心的“明十三陵景陵保护修缮工程”，投入资金1600万元，完成了修缮总建筑面积2444.24平方米，院落环境陵墙总长度376米、宝城墙总长度485米，地面铺装总面积729.68平方米，项目整体进度已完成80%，修缮质量符合</w:t>
      </w:r>
      <w:r>
        <w:rPr>
          <w:rFonts w:hint="eastAsia" w:ascii="方正仿宋_GBK" w:hAnsi="方正仿宋_GBK" w:eastAsia="方正仿宋_GBK" w:cs="方正仿宋_GBK"/>
          <w:color w:val="auto"/>
          <w:sz w:val="32"/>
          <w:szCs w:val="32"/>
          <w:highlight w:val="none"/>
          <w:lang w:val="en-US" w:eastAsia="zh-CN"/>
        </w:rPr>
        <w:t>相关质量</w:t>
      </w:r>
      <w:r>
        <w:rPr>
          <w:rFonts w:hint="eastAsia" w:ascii="方正仿宋_GBK" w:hAnsi="方正仿宋_GBK" w:eastAsia="方正仿宋_GBK" w:cs="方正仿宋_GBK"/>
          <w:color w:val="auto"/>
          <w:sz w:val="32"/>
          <w:szCs w:val="32"/>
          <w:highlight w:val="none"/>
        </w:rPr>
        <w:t>要求，合格率100%。该项目的实施不仅保护了明十三陵这一世界文化遗产，也为游客提供了更好的参观体验。</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Lines="0" w:line="360" w:lineRule="auto"/>
        <w:ind w:left="0" w:leftChars="0" w:firstLine="640" w:firstLineChars="200"/>
        <w:textAlignment w:val="auto"/>
        <w:outlineLvl w:val="3"/>
        <w:rPr>
          <w:rFonts w:hint="eastAsia" w:ascii="方正仿宋_GBK" w:hAnsi="方正仿宋_GBK" w:eastAsia="方正仿宋_GBK" w:cs="方正仿宋_GBK"/>
          <w:color w:val="auto"/>
          <w:kern w:val="2"/>
          <w:sz w:val="32"/>
          <w:szCs w:val="32"/>
          <w:highlight w:val="none"/>
          <w:lang w:val="en-US" w:eastAsia="zh-CN" w:bidi="ar-SA"/>
        </w:rPr>
      </w:pPr>
      <w:r>
        <w:rPr>
          <w:rFonts w:hint="eastAsia" w:ascii="方正仿宋_GBK" w:hAnsi="方正仿宋_GBK" w:eastAsia="方正仿宋_GBK" w:cs="方正仿宋_GBK"/>
          <w:color w:val="auto"/>
          <w:kern w:val="2"/>
          <w:sz w:val="32"/>
          <w:szCs w:val="32"/>
          <w:highlight w:val="none"/>
          <w:lang w:val="en-US" w:eastAsia="zh-CN" w:bidi="ar-SA"/>
        </w:rPr>
        <w:t>（2）可持续影响指标</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jc w:val="both"/>
        <w:textAlignment w:val="auto"/>
        <w:outlineLvl w:val="9"/>
        <w:rPr>
          <w:rFonts w:hint="eastAsia" w:ascii="Times New Roman" w:hAnsi="Times New Roman" w:eastAsia="黑体" w:cs="Times New Roman"/>
          <w:b w:val="0"/>
          <w:bCs/>
          <w:color w:val="auto"/>
          <w:sz w:val="32"/>
          <w:szCs w:val="32"/>
          <w:highlight w:val="none"/>
          <w:lang w:val="en-US" w:eastAsia="zh-CN"/>
        </w:rPr>
      </w:pPr>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本</w:t>
      </w:r>
      <w:r>
        <w:rPr>
          <w:rFonts w:hint="eastAsia" w:ascii="方正仿宋_GBK" w:hAnsi="方正仿宋_GBK" w:eastAsia="方正仿宋_GBK" w:cs="方正仿宋_GBK"/>
          <w:i w:val="0"/>
          <w:iCs w:val="0"/>
          <w:caps w:val="0"/>
          <w:color w:val="auto"/>
          <w:spacing w:val="0"/>
          <w:sz w:val="32"/>
          <w:szCs w:val="32"/>
          <w:highlight w:val="none"/>
          <w:shd w:val="clear"/>
        </w:rPr>
        <w:t>年度的文物保护项目对中华优秀传统文化的传承产生了深远影响</w:t>
      </w:r>
      <w:r>
        <w:rPr>
          <w:rFonts w:hint="eastAsia" w:ascii="方正仿宋_GBK" w:hAnsi="方正仿宋_GBK" w:eastAsia="方正仿宋_GBK" w:cs="方正仿宋_GBK"/>
          <w:i w:val="0"/>
          <w:iCs w:val="0"/>
          <w:caps w:val="0"/>
          <w:color w:val="auto"/>
          <w:spacing w:val="0"/>
          <w:sz w:val="32"/>
          <w:szCs w:val="32"/>
          <w:highlight w:val="none"/>
          <w:shd w:val="clear"/>
          <w:lang w:eastAsia="zh-CN"/>
        </w:rPr>
        <w:t>。</w:t>
      </w:r>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如：</w:t>
      </w:r>
      <w:r>
        <w:rPr>
          <w:rFonts w:hint="eastAsia" w:ascii="方正仿宋_GBK" w:hAnsi="方正仿宋_GBK" w:eastAsia="方正仿宋_GBK" w:cs="方正仿宋_GBK"/>
          <w:i w:val="0"/>
          <w:iCs w:val="0"/>
          <w:caps w:val="0"/>
          <w:color w:val="auto"/>
          <w:spacing w:val="0"/>
          <w:sz w:val="32"/>
          <w:szCs w:val="32"/>
          <w:highlight w:val="none"/>
          <w:shd w:val="clear"/>
          <w:lang w:eastAsia="zh-CN"/>
        </w:rPr>
        <w:t>文化遗产保护与传承</w:t>
      </w:r>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方面，</w:t>
      </w:r>
      <w:r>
        <w:rPr>
          <w:rFonts w:hint="eastAsia" w:ascii="方正仿宋_GBK" w:hAnsi="方正仿宋_GBK" w:eastAsia="方正仿宋_GBK" w:cs="方正仿宋_GBK"/>
          <w:i w:val="0"/>
          <w:iCs w:val="0"/>
          <w:caps w:val="0"/>
          <w:color w:val="auto"/>
          <w:spacing w:val="0"/>
          <w:sz w:val="32"/>
          <w:szCs w:val="32"/>
          <w:highlight w:val="none"/>
          <w:shd w:val="clear"/>
          <w:lang w:eastAsia="zh-CN"/>
        </w:rPr>
        <w:t>通过实施如“北京长峪城城堡等部分长城城堡研究与保护展示”等项目，形成了北京长城城堡示范案例，为北京北部六区探索长城城堡的研究性修缮、预防性保护、持续和谐的活态传承等方面提供了试点样板和借鉴经验，有助于指导地方开展后续的保护展示工作，确保文化遗产的长期保存与传承。激发文化创新活力</w:t>
      </w:r>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方面，</w:t>
      </w:r>
      <w:r>
        <w:rPr>
          <w:rFonts w:hint="eastAsia" w:ascii="方正仿宋_GBK" w:hAnsi="方正仿宋_GBK" w:eastAsia="方正仿宋_GBK" w:cs="方正仿宋_GBK"/>
          <w:i w:val="0"/>
          <w:iCs w:val="0"/>
          <w:caps w:val="0"/>
          <w:color w:val="auto"/>
          <w:spacing w:val="0"/>
          <w:sz w:val="32"/>
          <w:szCs w:val="32"/>
          <w:highlight w:val="none"/>
          <w:shd w:val="clear"/>
          <w:lang w:eastAsia="zh-CN"/>
        </w:rPr>
        <w:t>文物保护项目促进了文化与旅游、科技等产业的融合发展。例如，“圆明园遗址重点风险部位初步筛查与体检（一期）项目”，通过数字化技术对遗址进行健康状况初步筛查和体检，不仅为遗址保护提供了科学依据，也为后续的数字化展示和文化旅游开发奠定了基础，实现了文化遗产的多元价值和可持续利用。</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0"/>
        <w:rPr>
          <w:rFonts w:hint="eastAsia" w:ascii="Times New Roman" w:hAnsi="Times New Roman" w:eastAsia="黑体" w:cs="Times New Roman"/>
          <w:b w:val="0"/>
          <w:bCs/>
          <w:color w:val="auto"/>
          <w:sz w:val="32"/>
          <w:szCs w:val="32"/>
          <w:highlight w:val="none"/>
          <w:lang w:val="en-US" w:eastAsia="zh-CN"/>
        </w:rPr>
      </w:pPr>
      <w:r>
        <w:rPr>
          <w:rFonts w:hint="eastAsia" w:ascii="Times New Roman" w:hAnsi="Times New Roman" w:eastAsia="黑体" w:cs="Times New Roman"/>
          <w:b w:val="0"/>
          <w:bCs/>
          <w:color w:val="auto"/>
          <w:sz w:val="32"/>
          <w:szCs w:val="32"/>
          <w:highlight w:val="none"/>
          <w:lang w:val="en-US" w:eastAsia="zh-CN"/>
        </w:rPr>
        <w:t>三、绩效自评结论</w:t>
      </w:r>
    </w:p>
    <w:p>
      <w:pPr>
        <w:keepNext w:val="0"/>
        <w:keepLines w:val="0"/>
        <w:pageBreakBefore w:val="0"/>
        <w:widowControl w:val="0"/>
        <w:kinsoku/>
        <w:wordWrap/>
        <w:overflowPunct/>
        <w:topLinePunct w:val="0"/>
        <w:autoSpaceDE/>
        <w:autoSpaceDN/>
        <w:bidi w:val="0"/>
        <w:adjustRightInd w:val="0"/>
        <w:snapToGrid w:val="0"/>
        <w:spacing w:line="360" w:lineRule="auto"/>
        <w:ind w:left="0"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2024 年国家文保资金转移支付整体情况较好</w:t>
      </w:r>
      <w:bookmarkStart w:id="0" w:name="_GoBack"/>
      <w:bookmarkEnd w:id="0"/>
      <w:r>
        <w:rPr>
          <w:rFonts w:hint="eastAsia" w:ascii="方正仿宋_GBK" w:hAnsi="方正仿宋_GBK" w:eastAsia="方正仿宋_GBK" w:cs="方正仿宋_GBK"/>
          <w:i w:val="0"/>
          <w:iCs w:val="0"/>
          <w:caps w:val="0"/>
          <w:color w:val="auto"/>
          <w:spacing w:val="0"/>
          <w:sz w:val="32"/>
          <w:szCs w:val="32"/>
          <w:highlight w:val="none"/>
          <w:shd w:val="clear"/>
          <w:lang w:val="en-US" w:eastAsia="zh-CN"/>
        </w:rPr>
        <w:t>。</w:t>
      </w:r>
      <w:r>
        <w:rPr>
          <w:rFonts w:hint="eastAsia" w:ascii="方正仿宋_GBK" w:hAnsi="方正仿宋_GBK" w:eastAsia="方正仿宋_GBK" w:cs="方正仿宋_GBK"/>
          <w:color w:val="auto"/>
          <w:sz w:val="32"/>
          <w:szCs w:val="32"/>
          <w:highlight w:val="none"/>
          <w:lang w:val="en-US" w:eastAsia="zh-CN"/>
        </w:rPr>
        <w:t>在文保资金执行过程中，部分项目在绩效目标实现方面仍有进一步提升空间，主要体现在部分项目受文物保护工程特殊性及外部因素影响工程进度，跨年项目在预算申报和过程管理等方面仍需加强，这些因素共同影响了资金使用效益和绩效完成的充分性。</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lang w:val="en-US" w:eastAsia="zh-CN"/>
        </w:rPr>
        <w:t>下一步，将重点优化资金分配和项目前期论证机制，强化全过程绩效管理，并加强评价结果运用，推动项目规范高效实施，提升文物保护资金使用效能和政策执行效果。</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方正仿宋_GBK" w:hAnsi="方正仿宋_GBK" w:eastAsia="方正仿宋_GBK" w:cs="方正仿宋_GBK"/>
          <w:color w:val="auto"/>
          <w:sz w:val="32"/>
          <w:szCs w:val="32"/>
          <w:highlight w:val="none"/>
          <w:lang w:val="en-US" w:eastAsia="zh-CN"/>
        </w:rPr>
      </w:pPr>
    </w:p>
    <w:p>
      <w:pPr>
        <w:adjustRightInd w:val="0"/>
        <w:snapToGrid w:val="0"/>
        <w:spacing w:before="0" w:beforeAutospacing="0" w:after="0" w:afterAutospacing="0" w:line="360" w:lineRule="auto"/>
        <w:ind w:firstLine="640" w:firstLineChars="200"/>
        <w:outlineLvl w:val="9"/>
        <w:rPr>
          <w:rFonts w:hint="eastAsia" w:ascii="方正仿宋_GBK" w:hAnsi="方正仿宋_GBK" w:eastAsia="方正仿宋_GBK" w:cs="方正仿宋_GBK"/>
          <w:color w:val="auto"/>
          <w:sz w:val="32"/>
          <w:szCs w:val="32"/>
          <w:highlight w:val="none"/>
        </w:rPr>
      </w:pPr>
    </w:p>
    <w:p>
      <w:pPr>
        <w:adjustRightInd w:val="0"/>
        <w:snapToGrid w:val="0"/>
        <w:spacing w:before="0" w:beforeAutospacing="0" w:after="0" w:afterAutospacing="0" w:line="360" w:lineRule="auto"/>
        <w:ind w:firstLine="640" w:firstLineChars="200"/>
        <w:outlineLvl w:val="9"/>
        <w:rPr>
          <w:rFonts w:hint="default" w:ascii="Times New Roman" w:hAnsi="Times New Roman" w:cs="Times New Roman"/>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附件：转移支付区域（项目）绩效目标自评表</w:t>
      </w:r>
    </w:p>
    <w:p>
      <w:pPr>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br w:type="page"/>
      </w:r>
    </w:p>
    <w:p>
      <w:pPr>
        <w:adjustRightInd w:val="0"/>
        <w:snapToGrid w:val="0"/>
        <w:spacing w:before="0" w:beforeAutospacing="0" w:after="0" w:afterAutospacing="0" w:line="360" w:lineRule="auto"/>
        <w:ind w:firstLine="640" w:firstLineChars="200"/>
        <w:outlineLvl w:val="9"/>
        <w:rPr>
          <w:rFonts w:hint="default" w:ascii="Times New Roman" w:hAnsi="Times New Roman" w:cs="Times New Roman"/>
          <w:color w:val="auto"/>
          <w:sz w:val="32"/>
          <w:szCs w:val="32"/>
          <w:highlight w:val="none"/>
          <w:lang w:val="en-US" w:eastAsia="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adjustRightInd w:val="0"/>
        <w:snapToGrid w:val="0"/>
        <w:spacing w:before="0" w:beforeAutospacing="0" w:after="0" w:afterAutospacing="0" w:line="360" w:lineRule="auto"/>
        <w:ind w:firstLine="0" w:firstLineChars="0"/>
        <w:outlineLvl w:val="0"/>
        <w:rPr>
          <w:rFonts w:hint="eastAsia" w:asciiTheme="majorEastAsia" w:hAnsiTheme="majorEastAsia" w:eastAsiaTheme="majorEastAsia" w:cstheme="majorEastAsia"/>
          <w:color w:val="auto"/>
          <w:sz w:val="28"/>
          <w:szCs w:val="28"/>
          <w:highlight w:val="none"/>
          <w:lang w:val="en-US" w:eastAsia="zh-CN"/>
        </w:rPr>
      </w:pPr>
      <w:r>
        <w:rPr>
          <w:rFonts w:hint="eastAsia" w:asciiTheme="majorEastAsia" w:hAnsiTheme="majorEastAsia" w:eastAsiaTheme="majorEastAsia" w:cstheme="majorEastAsia"/>
          <w:color w:val="auto"/>
          <w:sz w:val="28"/>
          <w:szCs w:val="28"/>
          <w:highlight w:val="none"/>
          <w:lang w:val="en-US" w:eastAsia="zh-CN"/>
        </w:rPr>
        <w:t>附件：</w:t>
      </w:r>
    </w:p>
    <w:p>
      <w:pPr>
        <w:keepNext w:val="0"/>
        <w:keepLines w:val="0"/>
        <w:pageBreakBefore w:val="0"/>
        <w:kinsoku/>
        <w:wordWrap/>
        <w:overflowPunct/>
        <w:topLinePunct w:val="0"/>
        <w:autoSpaceDE/>
        <w:autoSpaceDN/>
        <w:bidi w:val="0"/>
        <w:adjustRightInd w:val="0"/>
        <w:snapToGrid w:val="0"/>
        <w:spacing w:before="0" w:beforeAutospacing="0" w:after="0" w:afterAutospacing="0" w:line="240" w:lineRule="atLeast"/>
        <w:ind w:firstLine="640" w:firstLineChars="200"/>
        <w:jc w:val="center"/>
        <w:outlineLvl w:val="9"/>
        <w:rPr>
          <w:rFonts w:hint="eastAsia" w:asciiTheme="minorEastAsia" w:hAnsiTheme="minorEastAsia" w:eastAsiaTheme="minorEastAsia" w:cstheme="minorEastAsia"/>
          <w:color w:val="auto"/>
          <w:sz w:val="32"/>
          <w:szCs w:val="32"/>
          <w:highlight w:val="none"/>
          <w:lang w:val="en-US" w:eastAsia="zh-CN"/>
        </w:rPr>
      </w:pPr>
      <w:r>
        <w:rPr>
          <w:rFonts w:hint="eastAsia" w:asciiTheme="majorEastAsia" w:hAnsiTheme="majorEastAsia" w:eastAsiaTheme="majorEastAsia" w:cstheme="majorEastAsia"/>
          <w:b w:val="0"/>
          <w:bCs w:val="0"/>
          <w:i w:val="0"/>
          <w:iCs w:val="0"/>
          <w:color w:val="auto"/>
          <w:kern w:val="0"/>
          <w:sz w:val="32"/>
          <w:szCs w:val="32"/>
          <w:highlight w:val="none"/>
          <w:u w:val="none"/>
          <w:lang w:val="en-US" w:eastAsia="zh-CN"/>
        </w:rPr>
        <w:t>北京市国家文物保护资金转移支付绩效目标自评表</w:t>
      </w:r>
      <w:r>
        <w:rPr>
          <w:rFonts w:hint="default" w:ascii="Times New Roman" w:hAnsi="Times New Roman" w:eastAsia="仿宋_GB2312" w:cs="Times New Roman"/>
          <w:b/>
          <w:bCs/>
          <w:i w:val="0"/>
          <w:iCs w:val="0"/>
          <w:color w:val="auto"/>
          <w:kern w:val="0"/>
          <w:sz w:val="32"/>
          <w:szCs w:val="32"/>
          <w:highlight w:val="none"/>
          <w:u w:val="none"/>
          <w:lang w:val="en-US" w:eastAsia="zh-CN"/>
        </w:rPr>
        <w:br w:type="textWrapping"/>
      </w:r>
      <w:r>
        <w:rPr>
          <w:rStyle w:val="10"/>
          <w:rFonts w:hint="eastAsia" w:asciiTheme="minorEastAsia" w:hAnsiTheme="minorEastAsia" w:eastAsiaTheme="minorEastAsia" w:cstheme="minorEastAsia"/>
          <w:color w:val="auto"/>
          <w:sz w:val="21"/>
          <w:szCs w:val="21"/>
          <w:highlight w:val="none"/>
          <w:lang w:val="en-US" w:eastAsia="zh-CN"/>
        </w:rPr>
        <w:t>（2024年度）</w:t>
      </w:r>
    </w:p>
    <w:tbl>
      <w:tblPr>
        <w:tblStyle w:val="4"/>
        <w:tblW w:w="142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9"/>
        <w:gridCol w:w="596"/>
        <w:gridCol w:w="46"/>
        <w:gridCol w:w="1087"/>
        <w:gridCol w:w="46"/>
        <w:gridCol w:w="1896"/>
        <w:gridCol w:w="46"/>
        <w:gridCol w:w="1526"/>
        <w:gridCol w:w="46"/>
        <w:gridCol w:w="2714"/>
        <w:gridCol w:w="1204"/>
        <w:gridCol w:w="1323"/>
        <w:gridCol w:w="29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转移支付名称</w:t>
            </w:r>
          </w:p>
        </w:tc>
        <w:tc>
          <w:tcPr>
            <w:tcW w:w="12907" w:type="dxa"/>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国家文物保护资金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中央主管部门</w:t>
            </w:r>
          </w:p>
        </w:tc>
        <w:tc>
          <w:tcPr>
            <w:tcW w:w="12907" w:type="dxa"/>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国家文物局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地方主管部门</w:t>
            </w:r>
          </w:p>
        </w:tc>
        <w:tc>
          <w:tcPr>
            <w:tcW w:w="12907" w:type="dxa"/>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北京市文物局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3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资金投入情况（万元）</w:t>
            </w: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年初预算数</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全年预算数（A）</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全年执行数（B）</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分值（10）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执行率（B/A×100%）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3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年度资金总额：</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14,994.34</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14,994.34</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rPr>
              <w:t>10,972.19</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10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2"/>
                <w:sz w:val="20"/>
                <w:szCs w:val="20"/>
                <w:highlight w:val="none"/>
                <w:u w:val="none"/>
                <w:lang w:val="en-US" w:eastAsia="zh-CN" w:bidi="ar-SA"/>
              </w:rPr>
            </w:pPr>
            <w:r>
              <w:rPr>
                <w:rFonts w:hint="eastAsia" w:asciiTheme="minorEastAsia" w:hAnsiTheme="minorEastAsia" w:eastAsiaTheme="minorEastAsia" w:cstheme="minorEastAsia"/>
                <w:i w:val="0"/>
                <w:iCs w:val="0"/>
                <w:color w:val="auto"/>
                <w:kern w:val="0"/>
                <w:sz w:val="20"/>
                <w:szCs w:val="20"/>
                <w:highlight w:val="none"/>
                <w:u w:val="none"/>
                <w:lang w:val="en-US" w:eastAsia="zh-CN" w:bidi="ar"/>
              </w:rPr>
              <w:t>73.18%</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7.32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3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其他：中央补助</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rPr>
              <w:t>11,242.00</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rPr>
              <w:t>11,242.00</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rPr>
              <w:t>7,611.50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地方资金</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其他资金</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sz w:val="20"/>
                <w:szCs w:val="20"/>
                <w:highlight w:val="none"/>
                <w:u w:val="none"/>
                <w:lang w:val="en-US" w:eastAsia="zh-CN"/>
              </w:rPr>
              <w:t>3,752.34</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sz w:val="20"/>
                <w:szCs w:val="20"/>
                <w:highlight w:val="none"/>
                <w:u w:val="none"/>
                <w:lang w:val="en-US" w:eastAsia="zh-CN"/>
              </w:rPr>
              <w:t>3,752.34</w:t>
            </w:r>
          </w:p>
        </w:tc>
        <w:tc>
          <w:tcPr>
            <w:tcW w:w="27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eastAsia="zh-CN"/>
              </w:rPr>
            </w:pPr>
            <w:r>
              <w:rPr>
                <w:rFonts w:hint="eastAsia" w:asciiTheme="minorEastAsia" w:hAnsiTheme="minorEastAsia" w:eastAsiaTheme="minorEastAsia" w:cstheme="minorEastAsia"/>
                <w:i w:val="0"/>
                <w:iCs w:val="0"/>
                <w:color w:val="auto"/>
                <w:sz w:val="20"/>
                <w:szCs w:val="20"/>
                <w:highlight w:val="none"/>
                <w:u w:val="none"/>
              </w:rPr>
              <w:t>3,360.69</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sz w:val="20"/>
                <w:szCs w:val="20"/>
                <w:highlight w:val="none"/>
                <w:u w:val="none"/>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345" w:type="dxa"/>
            <w:gridSpan w:val="2"/>
            <w:vMerge w:val="restart"/>
            <w:tcBorders>
              <w:top w:val="single" w:color="000000" w:sz="4" w:space="0"/>
              <w:left w:val="single" w:color="000000" w:sz="4" w:space="0"/>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资金管理情况</w:t>
            </w: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274"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情况说明</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分值（40）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得分</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存在问题和改进措施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8"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分配科学性</w:t>
            </w:r>
          </w:p>
        </w:tc>
        <w:tc>
          <w:tcPr>
            <w:tcW w:w="62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严格按照转移支付管理制度以及资金管理办法规定的范围和标准分配资金。</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4.5</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存在个别资金分配的合理性有待加强的情况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7"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下达及时性</w:t>
            </w:r>
          </w:p>
        </w:tc>
        <w:tc>
          <w:tcPr>
            <w:tcW w:w="62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严格按照预算法及其实施条例、转移支付管理制度规定以及资金管理办法规定的时限要求分解下达。</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4"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拨付合规性</w:t>
            </w:r>
          </w:p>
        </w:tc>
        <w:tc>
          <w:tcPr>
            <w:tcW w:w="62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严格按照国库集中支付制度有关规定支付资金，未出现违规将资金从国库转入财政专户或支付到预算单位实有资金账户等问题</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2"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使用规范性</w:t>
            </w:r>
          </w:p>
        </w:tc>
        <w:tc>
          <w:tcPr>
            <w:tcW w:w="62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严格按照下达预算的科目和项目执行，未出现截留、挤占、挪用或擅自调整等问题。</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eastAsia="zh-CN"/>
              </w:rPr>
            </w:pPr>
            <w:r>
              <w:rPr>
                <w:rFonts w:hint="eastAsia" w:asciiTheme="minorEastAsia" w:hAnsiTheme="minorEastAsia" w:eastAsiaTheme="minorEastAsia" w:cstheme="minorEastAsia"/>
                <w:i w:val="0"/>
                <w:iCs w:val="0"/>
                <w:color w:val="auto"/>
                <w:sz w:val="20"/>
                <w:szCs w:val="20"/>
                <w:highlight w:val="none"/>
                <w:u w:val="none"/>
                <w:lang w:val="en-US" w:eastAsia="zh-CN"/>
              </w:rPr>
              <w:t>存在个别项目执行与项目批复不一致的情况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7"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执行准确性</w:t>
            </w:r>
          </w:p>
        </w:tc>
        <w:tc>
          <w:tcPr>
            <w:tcW w:w="62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按照上级下达和本级预算安排的金额执行，不存在执行数偏离预算数较多的问题。</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预算绩效管理情况</w:t>
            </w:r>
          </w:p>
        </w:tc>
        <w:tc>
          <w:tcPr>
            <w:tcW w:w="62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本项目将有关资金纳入对下转移支付绩效管理。</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6"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支出责任履行情况</w:t>
            </w:r>
          </w:p>
        </w:tc>
        <w:tc>
          <w:tcPr>
            <w:tcW w:w="62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对共同财政事权转移支付，按照财政事权和支出责任划分有关规定，足额安排资金履行本级支出责任。</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trPr>
        <w:tc>
          <w:tcPr>
            <w:tcW w:w="1345" w:type="dxa"/>
            <w:gridSpan w:val="2"/>
            <w:vMerge w:val="continue"/>
            <w:tcBorders>
              <w:top w:val="single" w:color="000000" w:sz="4" w:space="0"/>
              <w:left w:val="single" w:color="000000" w:sz="4" w:space="0"/>
              <w:bottom w:val="nil"/>
              <w:right w:val="nil"/>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政策目标实现情况</w:t>
            </w:r>
          </w:p>
        </w:tc>
        <w:tc>
          <w:tcPr>
            <w:tcW w:w="6274" w:type="dxa"/>
            <w:gridSpan w:val="6"/>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完成年初设定的政策目标，</w:t>
            </w:r>
          </w:p>
        </w:tc>
        <w:tc>
          <w:tcPr>
            <w:tcW w:w="1204"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5.00</w:t>
            </w:r>
          </w:p>
        </w:tc>
        <w:tc>
          <w:tcPr>
            <w:tcW w:w="2973"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完成情况总体目标</w:t>
            </w:r>
          </w:p>
        </w:tc>
        <w:tc>
          <w:tcPr>
            <w:tcW w:w="5243"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总体目标</w:t>
            </w:r>
          </w:p>
        </w:tc>
        <w:tc>
          <w:tcPr>
            <w:tcW w:w="826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全年实际完成情况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5243"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加强文物保护利用，提升文物安全水平，传承中华优秀传统文化，促进文物事业与经济社会和谐发展。</w:t>
            </w:r>
          </w:p>
        </w:tc>
        <w:tc>
          <w:tcPr>
            <w:tcW w:w="826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kern w:val="0"/>
                <w:sz w:val="20"/>
                <w:szCs w:val="20"/>
                <w:highlight w:val="none"/>
                <w:u w:val="none"/>
                <w:lang w:val="en-US" w:eastAsia="zh-CN"/>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2024年度实施项目共33个（含上年结转项目9项），其中已完成12个，实施中的项目21个。项目类别及构成：</w:t>
            </w:r>
          </w:p>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kern w:val="0"/>
                <w:sz w:val="20"/>
                <w:szCs w:val="20"/>
                <w:highlight w:val="none"/>
                <w:u w:val="none"/>
                <w:lang w:val="en-US" w:eastAsia="zh-CN"/>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1）文物保护类项目：30个（含上年结转8项）；</w:t>
            </w:r>
          </w:p>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kern w:val="0"/>
                <w:sz w:val="20"/>
                <w:szCs w:val="20"/>
                <w:highlight w:val="none"/>
                <w:u w:val="none"/>
                <w:lang w:val="en-US" w:eastAsia="zh-CN"/>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2）考古研究类项目：1个；</w:t>
            </w:r>
          </w:p>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可移动文物保护类项目：2个（含上年结转1项）。综合上述，总体绩效目标完成情况基本达标，整体完成情况较好，通过文保资金的持续投入，强化了文物保护利用，提升了文物安全水平，进一步促进了文物事业与经济社会和谐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5243"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left"/>
              <w:rPr>
                <w:rFonts w:hint="eastAsia" w:asciiTheme="minorEastAsia" w:hAnsiTheme="minorEastAsia" w:eastAsiaTheme="minorEastAsia" w:cstheme="minorEastAsia"/>
                <w:i w:val="0"/>
                <w:iCs w:val="0"/>
                <w:color w:val="auto"/>
                <w:sz w:val="20"/>
                <w:szCs w:val="20"/>
                <w:highlight w:val="none"/>
                <w:u w:val="none"/>
              </w:rPr>
            </w:pPr>
          </w:p>
        </w:tc>
        <w:tc>
          <w:tcPr>
            <w:tcW w:w="826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left"/>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8" w:hRule="atLeast"/>
        </w:trPr>
        <w:tc>
          <w:tcPr>
            <w:tcW w:w="749" w:type="dxa"/>
            <w:vMerge w:val="restart"/>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绩效指标</w:t>
            </w:r>
          </w:p>
        </w:tc>
        <w:tc>
          <w:tcPr>
            <w:tcW w:w="6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一级指标</w:t>
            </w: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二级指标</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三级指标</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指标值</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全年实际完成值</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分值</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得分</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产出指标（30分）</w:t>
            </w:r>
          </w:p>
        </w:tc>
        <w:tc>
          <w:tcPr>
            <w:tcW w:w="1133" w:type="dxa"/>
            <w:gridSpan w:val="2"/>
            <w:vMerge w:val="restar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数量指标（12分）</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全国重点文物保护单位文物保护项目（重点项目）</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1个</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1个</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当年确认列入支持范围的国保单位保护利用规划实现率</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≥98%</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8"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省级及省级以下文物保护项目预算占一般项目补助的比重</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≤15%</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0.87%</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nil"/>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数字化保护支出预算占一般项目补助的比重</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≤10%</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质量指标（18分）</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当年确认列入支持范围的国保单位“四有”工作实现率</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≥98%</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项目验收合格率</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≥98%</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1.09</w:t>
            </w:r>
          </w:p>
        </w:tc>
        <w:tc>
          <w:tcPr>
            <w:tcW w:w="29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12个已完工项目均已完成验收且验收合格；其他21个项目实施中，暂未验收。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3"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安全事故发生率</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≤0.5‰</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国保单位的重大险情排除率</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≥90%</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8"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馆藏珍贵文物和重要出土文物的抢救性保护修复率</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≥90%</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100%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文物损毁、违规修复发生率</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≤0.5‰</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0</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效益指标（8分）</w:t>
            </w: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社会效益指标（4分）</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提升国家文物保护水平与全民文物保护意识</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比上一年度提升</w:t>
            </w:r>
          </w:p>
        </w:tc>
        <w:tc>
          <w:tcPr>
            <w:tcW w:w="27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本年度文物保护工程聚焦文物保护修缮、馆藏文物修复、考古研究及安防体系升级等方面，累计实施30个重点项目，推动文化遗产保护事业取得显著社会效益，有效提升了国家文物保护水平与全民文物保护意识</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3.60</w:t>
            </w:r>
          </w:p>
        </w:tc>
        <w:tc>
          <w:tcPr>
            <w:tcW w:w="29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文物和文化遗产承载着中华民族的基因和血脉，是不可再生、不可替代的中华优秀文明资源，文物保护工作是长期而艰巨的任务，需要持续投入，以保障效益持续发挥。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4"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可持续影响指标（4分）</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对中华优秀传统文化传承影响</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长期</w:t>
            </w:r>
          </w:p>
        </w:tc>
        <w:tc>
          <w:tcPr>
            <w:tcW w:w="27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本年度的文物保护项目对中华优秀传统文化的传承产生了深远影响</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3.60</w:t>
            </w:r>
          </w:p>
        </w:tc>
        <w:tc>
          <w:tcPr>
            <w:tcW w:w="29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满意度指标（12分）</w:t>
            </w:r>
          </w:p>
        </w:tc>
        <w:tc>
          <w:tcPr>
            <w:tcW w:w="11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服务对象满意度指标（12分）</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博物馆参观人员满意度</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≥90%</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满意</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满意度调查，相应支撑材料不够充分，今后将加强收集和留存相关绩效支撑材料。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保护单位对文物保护满意度</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≥90%</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满意</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49" w:type="dxa"/>
            <w:vMerge w:val="continue"/>
            <w:tcBorders>
              <w:top w:val="single" w:color="000000" w:sz="4" w:space="0"/>
              <w:left w:val="single" w:color="000000" w:sz="4" w:space="0"/>
              <w:bottom w:val="single" w:color="000000" w:sz="4" w:space="0"/>
              <w:right w:val="single" w:color="000000" w:sz="4" w:space="0"/>
            </w:tcBorders>
            <w:shd w:val="clear" w:color="auto" w:fill="auto"/>
            <w:noWrap/>
            <w:textDirection w:val="tbRlV"/>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6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1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社会公众对文物保护满意度</w:t>
            </w:r>
          </w:p>
        </w:tc>
        <w:tc>
          <w:tcPr>
            <w:tcW w:w="157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≥90%</w:t>
            </w:r>
          </w:p>
        </w:tc>
        <w:tc>
          <w:tcPr>
            <w:tcW w:w="27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满意</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4.00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3.00</w:t>
            </w:r>
          </w:p>
        </w:tc>
        <w:tc>
          <w:tcPr>
            <w:tcW w:w="29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 w:hRule="atLeast"/>
        </w:trPr>
        <w:tc>
          <w:tcPr>
            <w:tcW w:w="8752" w:type="dxa"/>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总分</w:t>
            </w:r>
          </w:p>
        </w:tc>
        <w:tc>
          <w:tcPr>
            <w:tcW w:w="12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righ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100.00</w:t>
            </w:r>
          </w:p>
        </w:tc>
        <w:tc>
          <w:tcPr>
            <w:tcW w:w="13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center"/>
              <w:textAlignment w:val="center"/>
              <w:rPr>
                <w:rFonts w:hint="eastAsia" w:asciiTheme="minorEastAsia" w:hAnsiTheme="minorEastAsia" w:eastAsiaTheme="minorEastAsia" w:cstheme="minorEastAsia"/>
                <w:i w:val="0"/>
                <w:iCs w:val="0"/>
                <w:color w:val="auto"/>
                <w:sz w:val="20"/>
                <w:szCs w:val="20"/>
                <w:highlight w:val="none"/>
                <w:u w:val="none"/>
                <w:lang w:val="en-US"/>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89.11</w:t>
            </w:r>
          </w:p>
        </w:tc>
        <w:tc>
          <w:tcPr>
            <w:tcW w:w="29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spacing w:line="240" w:lineRule="atLeast"/>
              <w:jc w:val="center"/>
              <w:rPr>
                <w:rFonts w:hint="eastAsia" w:asciiTheme="minorEastAsia" w:hAnsiTheme="minorEastAsia" w:eastAsiaTheme="minorEastAsia" w:cstheme="minorEastAsia"/>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4252" w:type="dxa"/>
            <w:gridSpan w:val="1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jc w:val="left"/>
              <w:textAlignment w:val="center"/>
              <w:rPr>
                <w:rFonts w:hint="eastAsia" w:asciiTheme="minorEastAsia" w:hAnsiTheme="minorEastAsia" w:eastAsiaTheme="minorEastAsia" w:cstheme="minorEastAsia"/>
                <w:i w:val="0"/>
                <w:iCs w:val="0"/>
                <w:color w:val="auto"/>
                <w:sz w:val="20"/>
                <w:szCs w:val="20"/>
                <w:highlight w:val="none"/>
                <w:u w:val="none"/>
              </w:rPr>
            </w:pPr>
            <w:r>
              <w:rPr>
                <w:rFonts w:hint="eastAsia" w:asciiTheme="minorEastAsia" w:hAnsiTheme="minorEastAsia" w:eastAsiaTheme="minorEastAsia" w:cstheme="minorEastAsia"/>
                <w:i w:val="0"/>
                <w:iCs w:val="0"/>
                <w:color w:val="auto"/>
                <w:kern w:val="0"/>
                <w:sz w:val="20"/>
                <w:szCs w:val="20"/>
                <w:highlight w:val="none"/>
                <w:u w:val="none"/>
                <w:lang w:val="en-US" w:eastAsia="zh-CN"/>
              </w:rPr>
              <w:t>说明</w:t>
            </w:r>
            <w:r>
              <w:rPr>
                <w:rFonts w:hint="eastAsia" w:asciiTheme="minorEastAsia" w:hAnsiTheme="minorEastAsia" w:cstheme="minorEastAsia"/>
                <w:i w:val="0"/>
                <w:iCs w:val="0"/>
                <w:color w:val="auto"/>
                <w:kern w:val="0"/>
                <w:sz w:val="20"/>
                <w:szCs w:val="20"/>
                <w:highlight w:val="none"/>
                <w:u w:val="none"/>
                <w:lang w:val="en-US" w:eastAsia="zh-CN"/>
              </w:rPr>
              <w:t>：</w:t>
            </w:r>
            <w:r>
              <w:rPr>
                <w:rFonts w:hint="eastAsia" w:asciiTheme="minorEastAsia" w:hAnsiTheme="minorEastAsia" w:eastAsiaTheme="minorEastAsia" w:cstheme="minorEastAsia"/>
                <w:i w:val="0"/>
                <w:iCs w:val="0"/>
                <w:color w:val="auto"/>
                <w:kern w:val="0"/>
                <w:sz w:val="20"/>
                <w:szCs w:val="20"/>
                <w:highlight w:val="none"/>
                <w:u w:val="none"/>
                <w:lang w:val="en-US" w:eastAsia="zh-CN"/>
              </w:rPr>
              <w:t>无</w:t>
            </w:r>
          </w:p>
        </w:tc>
      </w:tr>
    </w:tbl>
    <w:p>
      <w:pPr>
        <w:ind w:firstLine="640" w:firstLineChars="200"/>
        <w:outlineLvl w:val="9"/>
        <w:rPr>
          <w:rFonts w:hint="eastAsia" w:ascii="方正仿宋_GBK" w:hAnsi="方正仿宋_GBK" w:eastAsia="方正仿宋_GBK" w:cs="方正仿宋_GBK"/>
          <w:color w:val="auto"/>
          <w:sz w:val="32"/>
          <w:szCs w:val="32"/>
          <w:highlight w:val="none"/>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bottomMargin">
                <wp:posOffset>161925</wp:posOffset>
              </wp:positionV>
              <wp:extent cx="1828800" cy="1828800"/>
              <wp:effectExtent l="0" t="0" r="0" b="0"/>
              <wp:wrapNone/>
              <wp:docPr id="4097"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p>
                      </w:txbxContent>
                    </wps:txbx>
                    <wps:bodyPr vert="horz" wrap="none" lIns="0" tIns="0" rIns="0" bIns="0" anchor="t" upright="0">
                      <a:spAutoFit/>
                    </wps:bodyPr>
                  </wps:wsp>
                </a:graphicData>
              </a:graphic>
            </wp:anchor>
          </w:drawing>
        </mc:Choice>
        <mc:Fallback>
          <w:pict>
            <v:rect id="文本框 4" o:spid="_x0000_s1026" o:spt="1" style="position:absolute;left:0pt;margin-left:290.65pt;margin-top:782.65pt;height:144pt;width:144pt;mso-position-horizontal-relative:page;mso-position-vertical-relative:page;mso-wrap-style:none;z-index:251659264;mso-width-relative:page;mso-height-relative:page;" filled="f" stroked="f" coordsize="21600,21600" o:gfxdata="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">
              <v:fill on="f" focussize="0,0"/>
              <v:stroke on="f"/>
              <v:imagedata o:title=""/>
              <o:lock v:ext="edit" aspectratio="f"/>
              <v:textbox inset="0mm,0mm,0mm,0mm" style="mso-fit-shape-to-text:t;">
                <w:txbxContent>
                  <w:p>
                    <w:pPr>
                      <w:pStyle w:val="2"/>
                      <w:rPr>
                        <w:rFonts w:ascii="宋体" w:hAnsi="宋体" w:eastAsia="宋体"/>
                        <w:sz w:val="28"/>
                      </w:rPr>
                    </w:pP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footnote>
  <w:footnote w:type="continuationSeparator" w:id="3">
    <w:p/>
  </w:footnote>
  <w:footnote w:id="0">
    <w:p>
      <w:pPr>
        <w:pStyle w:val="3"/>
        <w:snapToGrid w:val="0"/>
        <w:rPr>
          <w:rFonts w:hint="eastAsia" w:eastAsia="仿宋_GB2312"/>
          <w:lang w:val="en-US" w:eastAsia="zh-CN"/>
        </w:rPr>
      </w:pPr>
      <w:r>
        <w:rPr>
          <w:rStyle w:val="6"/>
        </w:rPr>
        <w:footnoteRef/>
      </w:r>
      <w:r>
        <w:rPr>
          <w:rFonts w:hint="eastAsia"/>
          <w:lang w:val="en-US" w:eastAsia="zh-CN"/>
        </w:rPr>
        <w:t>本报告预算</w:t>
      </w:r>
      <w:r>
        <w:rPr>
          <w:rFonts w:hint="eastAsia"/>
        </w:rPr>
        <w:t>执行率是</w:t>
      </w:r>
      <w:r>
        <w:rPr>
          <w:rFonts w:hint="eastAsia"/>
          <w:lang w:val="en-US" w:eastAsia="zh-CN"/>
        </w:rPr>
        <w:t>指</w:t>
      </w:r>
      <w:r>
        <w:rPr>
          <w:rFonts w:hint="eastAsia"/>
        </w:rPr>
        <w:t>年度执行进度</w:t>
      </w:r>
      <w:r>
        <w:rPr>
          <w:rFonts w:hint="eastAsia"/>
          <w:lang w:eastAsia="zh-CN"/>
        </w:rPr>
        <w:t>，部分项目因工程周期跨年、需按合同约定分期付款或正处于审计验收阶段，导致资金支付进度与年度时间不同步。</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834317"/>
    <w:rsid w:val="0AB30D71"/>
    <w:rsid w:val="0E500807"/>
    <w:rsid w:val="14173F48"/>
    <w:rsid w:val="18FDA289"/>
    <w:rsid w:val="1E9D2006"/>
    <w:rsid w:val="2EDBF04E"/>
    <w:rsid w:val="37FF7057"/>
    <w:rsid w:val="3B5DDA64"/>
    <w:rsid w:val="3BED9F12"/>
    <w:rsid w:val="3DED0D81"/>
    <w:rsid w:val="3DFF1D22"/>
    <w:rsid w:val="57834317"/>
    <w:rsid w:val="582D078D"/>
    <w:rsid w:val="5C9902AA"/>
    <w:rsid w:val="61AC7DCD"/>
    <w:rsid w:val="64ED62CF"/>
    <w:rsid w:val="6F4FA4C8"/>
    <w:rsid w:val="7C8F4642"/>
    <w:rsid w:val="7EFF279D"/>
    <w:rsid w:val="7F7D865A"/>
    <w:rsid w:val="9AEFEC28"/>
    <w:rsid w:val="AFF504DD"/>
    <w:rsid w:val="BFB75D46"/>
    <w:rsid w:val="CEEFBAD3"/>
    <w:rsid w:val="CF7FD491"/>
    <w:rsid w:val="D1FBB0E6"/>
    <w:rsid w:val="DF7DEADD"/>
    <w:rsid w:val="E3DB9002"/>
    <w:rsid w:val="FC874A30"/>
    <w:rsid w:val="FCFF3E44"/>
    <w:rsid w:val="FD3D6E08"/>
    <w:rsid w:val="FEB788F9"/>
    <w:rsid w:val="FF3BA890"/>
    <w:rsid w:val="FFCF8BF8"/>
    <w:rsid w:val="FFEF7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 w:type="paragraph" w:styleId="3">
    <w:name w:val="footnote text"/>
    <w:basedOn w:val="1"/>
    <w:qFormat/>
    <w:uiPriority w:val="0"/>
    <w:pPr>
      <w:snapToGrid w:val="0"/>
      <w:jc w:val="left"/>
    </w:pPr>
    <w:rPr>
      <w:sz w:val="18"/>
    </w:rPr>
  </w:style>
  <w:style w:type="character" w:styleId="6">
    <w:name w:val="footnote reference"/>
    <w:basedOn w:val="5"/>
    <w:qFormat/>
    <w:uiPriority w:val="0"/>
    <w:rPr>
      <w:vertAlign w:val="superscript"/>
    </w:rPr>
  </w:style>
  <w:style w:type="paragraph" w:customStyle="1" w:styleId="7">
    <w:name w:val="样式 样式 左侧:  2 字符 + 左侧:  0.85 厘米 首行缩进:  2 字符1"/>
    <w:basedOn w:val="1"/>
    <w:qFormat/>
    <w:uiPriority w:val="0"/>
    <w:pPr>
      <w:tabs>
        <w:tab w:val="left" w:pos="0"/>
      </w:tabs>
      <w:ind w:left="482" w:firstLine="200" w:firstLineChars="200"/>
    </w:pPr>
    <w:rPr>
      <w:rFonts w:ascii="Times New Roman" w:hAnsi="Times New Roman" w:eastAsia="宋体" w:cs="宋体"/>
      <w:szCs w:val="20"/>
    </w:rPr>
  </w:style>
  <w:style w:type="character" w:customStyle="1" w:styleId="8">
    <w:name w:val="font91"/>
    <w:basedOn w:val="5"/>
    <w:qFormat/>
    <w:uiPriority w:val="0"/>
    <w:rPr>
      <w:rFonts w:hint="default" w:ascii="Times New Roman" w:hAnsi="Times New Roman" w:cs="Times New Roman"/>
      <w:color w:val="000000"/>
      <w:sz w:val="20"/>
      <w:szCs w:val="20"/>
      <w:u w:val="none"/>
    </w:rPr>
  </w:style>
  <w:style w:type="character" w:customStyle="1" w:styleId="9">
    <w:name w:val="font71"/>
    <w:basedOn w:val="5"/>
    <w:qFormat/>
    <w:uiPriority w:val="0"/>
    <w:rPr>
      <w:rFonts w:hint="default" w:ascii="Times New Roman" w:hAnsi="Times New Roman" w:cs="Times New Roman"/>
      <w:color w:val="000000"/>
      <w:sz w:val="20"/>
      <w:szCs w:val="20"/>
      <w:u w:val="none"/>
    </w:rPr>
  </w:style>
  <w:style w:type="character" w:customStyle="1" w:styleId="10">
    <w:name w:val="font4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819</Words>
  <Characters>965</Characters>
  <Lines>0</Lines>
  <Paragraphs>0</Paragraphs>
  <TotalTime>9</TotalTime>
  <ScaleCrop>false</ScaleCrop>
  <LinksUpToDate>false</LinksUpToDate>
  <CharactersWithSpaces>965</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2025-08-27T11:27:00Z</dcterms:created>
  <dc:creator>用户</dc:creator>
  <cp:lastModifiedBy>zhangling</cp:lastModifiedBy>
  <dcterms:modified xsi:type="dcterms:W3CDTF">2025-08-26T14:12:44Z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052386F9E70D440EAD9FB69DE4718DB4_13</vt:lpwstr>
  </property>
  <property fmtid="{D5CDD505-2E9C-101B-9397-08002B2CF9AE}" pid="4" name="KSOTemplateDocerSaveRecord">
    <vt:lpwstr>eyJoZGlkIjoiNGVhZmUzYTZjZDcwYmIyZGIxZDI2MmZlNWMwMTg1YjEiLCJ1c2VySWQiOiIyNjA4OTk2MDEifQ==</vt:lpwstr>
  </property>
</Properties>
</file>