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77F" w:rsidRDefault="003B677F">
      <w:pPr>
        <w:jc w:val="center"/>
        <w:rPr>
          <w:rFonts w:ascii="仿宋_GB2312" w:eastAsia="仿宋_GB2312"/>
          <w:b/>
          <w:sz w:val="32"/>
          <w:szCs w:val="32"/>
        </w:rPr>
      </w:pPr>
    </w:p>
    <w:p w:rsidR="003B677F" w:rsidRDefault="003B677F">
      <w:pPr>
        <w:jc w:val="center"/>
        <w:rPr>
          <w:rFonts w:ascii="黑体" w:eastAsia="黑体"/>
          <w:sz w:val="72"/>
          <w:szCs w:val="72"/>
        </w:rPr>
      </w:pPr>
    </w:p>
    <w:p w:rsidR="003B677F" w:rsidRDefault="003B677F">
      <w:pPr>
        <w:jc w:val="center"/>
        <w:rPr>
          <w:rFonts w:ascii="黑体" w:eastAsia="黑体"/>
          <w:sz w:val="72"/>
          <w:szCs w:val="72"/>
        </w:rPr>
      </w:pPr>
    </w:p>
    <w:p w:rsidR="003B677F" w:rsidRDefault="003B677F">
      <w:pPr>
        <w:jc w:val="center"/>
        <w:rPr>
          <w:rFonts w:ascii="黑体" w:eastAsia="黑体"/>
          <w:sz w:val="72"/>
          <w:szCs w:val="72"/>
        </w:rPr>
      </w:pPr>
    </w:p>
    <w:p w:rsidR="003B677F" w:rsidRDefault="003B677F">
      <w:pPr>
        <w:jc w:val="center"/>
        <w:rPr>
          <w:rFonts w:ascii="黑体" w:eastAsia="黑体"/>
          <w:sz w:val="72"/>
          <w:szCs w:val="72"/>
        </w:rPr>
      </w:pPr>
    </w:p>
    <w:p w:rsidR="003B677F" w:rsidRDefault="001A4D9B">
      <w:pPr>
        <w:jc w:val="center"/>
        <w:rPr>
          <w:rFonts w:ascii="黑体" w:eastAsia="黑体"/>
          <w:sz w:val="72"/>
          <w:szCs w:val="72"/>
        </w:rPr>
      </w:pPr>
      <w:r>
        <w:rPr>
          <w:rFonts w:ascii="黑体" w:eastAsia="黑体" w:hint="eastAsia"/>
          <w:sz w:val="72"/>
          <w:szCs w:val="72"/>
        </w:rPr>
        <w:t>2023年度部门决算公开</w:t>
      </w:r>
    </w:p>
    <w:p w:rsidR="003B677F" w:rsidRDefault="003B677F" w:rsidP="009F351C">
      <w:pPr>
        <w:pStyle w:val="a0"/>
        <w:ind w:firstLine="1440"/>
        <w:rPr>
          <w:rFonts w:ascii="黑体" w:eastAsia="黑体"/>
          <w:sz w:val="72"/>
          <w:szCs w:val="72"/>
        </w:rPr>
      </w:pPr>
    </w:p>
    <w:p w:rsidR="003B677F" w:rsidRDefault="001A4D9B">
      <w:pPr>
        <w:jc w:val="center"/>
        <w:rPr>
          <w:rFonts w:ascii="宋体" w:hAnsi="宋体"/>
          <w:sz w:val="36"/>
          <w:szCs w:val="36"/>
        </w:rPr>
      </w:pPr>
      <w:r>
        <w:rPr>
          <w:rFonts w:ascii="宋体" w:hAnsi="宋体" w:hint="eastAsia"/>
          <w:sz w:val="36"/>
          <w:szCs w:val="36"/>
        </w:rPr>
        <w:t>单位名称：孔庙和国子监博物馆</w:t>
      </w:r>
    </w:p>
    <w:p w:rsidR="003B677F" w:rsidRDefault="003B677F" w:rsidP="009F351C">
      <w:pPr>
        <w:pStyle w:val="a0"/>
        <w:ind w:firstLine="420"/>
        <w:jc w:val="center"/>
      </w:pPr>
    </w:p>
    <w:p w:rsidR="003B677F" w:rsidRDefault="003B677F">
      <w:pPr>
        <w:jc w:val="center"/>
        <w:rPr>
          <w:rFonts w:ascii="黑体" w:eastAsia="黑体"/>
          <w:sz w:val="52"/>
          <w:szCs w:val="52"/>
        </w:rPr>
      </w:pPr>
    </w:p>
    <w:p w:rsidR="003B677F" w:rsidRDefault="003B677F">
      <w:pPr>
        <w:jc w:val="center"/>
        <w:rPr>
          <w:rFonts w:ascii="黑体" w:eastAsia="黑体"/>
          <w:sz w:val="52"/>
          <w:szCs w:val="52"/>
        </w:rPr>
      </w:pPr>
    </w:p>
    <w:p w:rsidR="003B677F" w:rsidRDefault="003B677F">
      <w:pPr>
        <w:jc w:val="center"/>
        <w:rPr>
          <w:rFonts w:ascii="黑体" w:eastAsia="黑体"/>
          <w:sz w:val="52"/>
          <w:szCs w:val="52"/>
        </w:rPr>
      </w:pPr>
    </w:p>
    <w:p w:rsidR="003B677F" w:rsidRDefault="003B677F">
      <w:pPr>
        <w:jc w:val="center"/>
        <w:rPr>
          <w:rFonts w:ascii="黑体" w:eastAsia="黑体"/>
          <w:sz w:val="52"/>
          <w:szCs w:val="52"/>
        </w:rPr>
      </w:pPr>
    </w:p>
    <w:p w:rsidR="003B677F" w:rsidRDefault="003B677F">
      <w:pPr>
        <w:jc w:val="center"/>
        <w:rPr>
          <w:rFonts w:ascii="黑体" w:eastAsia="黑体"/>
          <w:sz w:val="32"/>
          <w:szCs w:val="32"/>
        </w:rPr>
      </w:pPr>
    </w:p>
    <w:p w:rsidR="003B677F" w:rsidRDefault="001A4D9B">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t>目    录</w:t>
      </w:r>
    </w:p>
    <w:p w:rsidR="003B677F" w:rsidRDefault="003B677F">
      <w:pPr>
        <w:spacing w:line="500" w:lineRule="exact"/>
        <w:ind w:firstLine="645"/>
        <w:jc w:val="center"/>
        <w:rPr>
          <w:rFonts w:ascii="宋体" w:hAnsi="宋体" w:cs="宋体"/>
          <w:b/>
          <w:bCs/>
          <w:kern w:val="0"/>
          <w:sz w:val="36"/>
          <w:szCs w:val="36"/>
        </w:rPr>
      </w:pPr>
    </w:p>
    <w:p w:rsidR="003B677F" w:rsidRDefault="001A4D9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2023年度部门决算报表</w:t>
      </w:r>
    </w:p>
    <w:p w:rsidR="003B677F" w:rsidRDefault="001A4D9B">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3B677F" w:rsidRDefault="001A4D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3B677F" w:rsidRDefault="001A4D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3B677F" w:rsidRDefault="001A4D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3B677F" w:rsidRDefault="001A4D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3B677F" w:rsidRDefault="001A4D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3B677F" w:rsidRDefault="001A4D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3B677F" w:rsidRDefault="001A4D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3B677F" w:rsidRDefault="001A4D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3B677F" w:rsidRDefault="001A4D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3B677F" w:rsidRDefault="001A4D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3B677F" w:rsidRDefault="001A4D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lastRenderedPageBreak/>
        <w:t>十二、政府采购情况表</w:t>
      </w:r>
    </w:p>
    <w:p w:rsidR="003B677F" w:rsidRDefault="001A4D9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3B677F" w:rsidRDefault="001A4D9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2023年度部门决算说明</w:t>
      </w:r>
    </w:p>
    <w:p w:rsidR="003B677F" w:rsidRDefault="001A4D9B">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3B677F" w:rsidRDefault="001A4D9B">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2023年度部门绩效评价情况</w:t>
      </w:r>
    </w:p>
    <w:p w:rsidR="003B677F" w:rsidRDefault="003B677F">
      <w:pPr>
        <w:tabs>
          <w:tab w:val="center" w:pos="6979"/>
        </w:tabs>
        <w:spacing w:beforeLines="50" w:before="156" w:afterLines="50" w:after="156"/>
        <w:jc w:val="center"/>
        <w:rPr>
          <w:rFonts w:ascii="宋体" w:hAnsi="宋体" w:cs="宋体"/>
          <w:b/>
          <w:bCs/>
          <w:spacing w:val="40"/>
          <w:kern w:val="0"/>
          <w:sz w:val="32"/>
          <w:szCs w:val="32"/>
        </w:rPr>
      </w:pPr>
    </w:p>
    <w:p w:rsidR="003B677F" w:rsidRDefault="003B677F">
      <w:pPr>
        <w:tabs>
          <w:tab w:val="center" w:pos="6979"/>
        </w:tabs>
        <w:spacing w:beforeLines="50" w:before="156" w:afterLines="50" w:after="156"/>
        <w:jc w:val="center"/>
        <w:rPr>
          <w:rFonts w:ascii="宋体" w:hAnsi="宋体" w:cs="宋体"/>
          <w:b/>
          <w:bCs/>
          <w:spacing w:val="40"/>
          <w:kern w:val="0"/>
          <w:sz w:val="32"/>
          <w:szCs w:val="32"/>
        </w:rPr>
      </w:pPr>
    </w:p>
    <w:p w:rsidR="003B677F" w:rsidRDefault="003B677F">
      <w:pPr>
        <w:tabs>
          <w:tab w:val="center" w:pos="6979"/>
        </w:tabs>
        <w:spacing w:beforeLines="50" w:before="156" w:afterLines="50" w:after="156"/>
        <w:jc w:val="center"/>
        <w:rPr>
          <w:rFonts w:ascii="宋体" w:hAnsi="宋体" w:cs="宋体"/>
          <w:b/>
          <w:bCs/>
          <w:spacing w:val="40"/>
          <w:kern w:val="0"/>
          <w:sz w:val="32"/>
          <w:szCs w:val="32"/>
        </w:rPr>
      </w:pPr>
    </w:p>
    <w:p w:rsidR="003B677F" w:rsidRDefault="003B677F">
      <w:pPr>
        <w:tabs>
          <w:tab w:val="center" w:pos="6979"/>
        </w:tabs>
        <w:spacing w:beforeLines="50" w:before="156" w:afterLines="50" w:after="156"/>
        <w:jc w:val="center"/>
        <w:rPr>
          <w:rFonts w:ascii="宋体" w:hAnsi="宋体" w:cs="宋体"/>
          <w:b/>
          <w:bCs/>
          <w:spacing w:val="40"/>
          <w:kern w:val="0"/>
          <w:sz w:val="32"/>
          <w:szCs w:val="32"/>
        </w:rPr>
      </w:pPr>
    </w:p>
    <w:p w:rsidR="003B677F" w:rsidRDefault="003B677F">
      <w:pPr>
        <w:tabs>
          <w:tab w:val="center" w:pos="6979"/>
        </w:tabs>
        <w:spacing w:beforeLines="50" w:before="156" w:afterLines="50" w:after="156"/>
        <w:jc w:val="center"/>
        <w:rPr>
          <w:rFonts w:ascii="宋体" w:hAnsi="宋体" w:cs="宋体"/>
          <w:b/>
          <w:bCs/>
          <w:spacing w:val="40"/>
          <w:kern w:val="0"/>
          <w:sz w:val="32"/>
          <w:szCs w:val="32"/>
        </w:rPr>
      </w:pPr>
    </w:p>
    <w:p w:rsidR="003B677F" w:rsidRDefault="001A4D9B">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2023年度部门决算报表</w:t>
      </w:r>
    </w:p>
    <w:p w:rsidR="003B677F" w:rsidRDefault="001A4D9B">
      <w:pPr>
        <w:pStyle w:val="2"/>
        <w:rPr>
          <w:b w:val="0"/>
          <w:bCs w:val="0"/>
        </w:rPr>
        <w:sectPr w:rsidR="003B677F">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3B677F" w:rsidRDefault="001A4D9B">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2023年度部门决算说明</w:t>
      </w:r>
    </w:p>
    <w:p w:rsidR="003B677F" w:rsidRDefault="001A4D9B" w:rsidP="009F351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一、部门/单位基本情况</w:t>
      </w:r>
    </w:p>
    <w:p w:rsidR="003B677F" w:rsidRDefault="001A4D9B">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rsidR="009F351C" w:rsidRPr="009F351C" w:rsidRDefault="009F351C" w:rsidP="009F351C">
      <w:pPr>
        <w:spacing w:line="560" w:lineRule="exact"/>
        <w:ind w:firstLineChars="200" w:firstLine="560"/>
        <w:rPr>
          <w:rFonts w:ascii="仿宋_GB2312" w:eastAsia="仿宋_GB2312" w:cs="Droid Sans"/>
          <w:color w:val="000000"/>
          <w:sz w:val="28"/>
          <w:szCs w:val="28"/>
        </w:rPr>
      </w:pPr>
      <w:r>
        <w:rPr>
          <w:rFonts w:ascii="仿宋_GB2312" w:eastAsia="仿宋_GB2312" w:cs="Droid Sans" w:hint="eastAsia"/>
          <w:color w:val="000000"/>
          <w:sz w:val="28"/>
          <w:szCs w:val="28"/>
        </w:rPr>
        <w:t>孔庙和国子监博物馆为北京市文物局下属的全额拨款事业单位。预算编码为：048025。组织机构代码为：12110000777054876P。机构级别为处级单位。单位法人为：吴明。单位地址为：北京市东城区国子监街13-15号。</w:t>
      </w:r>
      <w:r>
        <w:rPr>
          <w:rFonts w:ascii="仿宋_GB2312" w:eastAsia="仿宋_GB2312" w:hint="eastAsia"/>
          <w:color w:val="000000"/>
          <w:sz w:val="28"/>
          <w:szCs w:val="28"/>
        </w:rPr>
        <w:t>博物馆内设八个部门，分别为：办公室、财务物业部、人事保卫部、文物保管部、业务研究部、社教部、文化活动部、网络信息部等部门</w:t>
      </w:r>
      <w:r>
        <w:rPr>
          <w:rFonts w:ascii="仿宋" w:eastAsia="仿宋" w:hAnsi="仿宋" w:hint="eastAsia"/>
          <w:sz w:val="28"/>
          <w:szCs w:val="28"/>
        </w:rPr>
        <w:t>。</w:t>
      </w:r>
      <w:r>
        <w:rPr>
          <w:rFonts w:ascii="仿宋_GB2312" w:eastAsia="仿宋_GB2312" w:cs="Droid Sans" w:hint="eastAsia"/>
          <w:color w:val="000000"/>
          <w:sz w:val="28"/>
          <w:szCs w:val="28"/>
        </w:rPr>
        <w:t>主要职责孔庙和国子监的保护和利用工作，开展有关孔子和科举制度等方面的研究工作，收集、整理、保管、陈列相关文物和文献资料。</w:t>
      </w:r>
    </w:p>
    <w:p w:rsidR="003B677F" w:rsidRDefault="001A4D9B">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9F351C" w:rsidRDefault="009F351C" w:rsidP="009F351C">
      <w:pPr>
        <w:tabs>
          <w:tab w:val="center" w:pos="6979"/>
        </w:tabs>
        <w:spacing w:line="580" w:lineRule="exact"/>
        <w:ind w:firstLineChars="200" w:firstLine="560"/>
        <w:rPr>
          <w:rFonts w:ascii="仿宋_GB2312" w:eastAsia="仿宋_GB2312"/>
          <w:b/>
          <w:sz w:val="32"/>
          <w:szCs w:val="32"/>
        </w:rPr>
      </w:pPr>
      <w:r>
        <w:rPr>
          <w:rFonts w:ascii="仿宋_GB2312" w:eastAsia="仿宋_GB2312" w:cs="Droid Sans" w:hint="eastAsia"/>
          <w:color w:val="000000"/>
          <w:sz w:val="28"/>
          <w:szCs w:val="28"/>
        </w:rPr>
        <w:t>孔庙和国子监博物馆现有行政编制0人，实有人数0人；事业编制68人，实有人数60人；其他人员56人，其中：劳务派遣人员56人；离退休人员45人，其中：离休人员0人，退休人员45人。</w:t>
      </w:r>
      <w:r w:rsidR="001A4D9B">
        <w:rPr>
          <w:rFonts w:ascii="仿宋_GB2312" w:eastAsia="仿宋_GB2312" w:hint="eastAsia"/>
          <w:b/>
          <w:sz w:val="32"/>
          <w:szCs w:val="32"/>
        </w:rPr>
        <w:t xml:space="preserve">  </w:t>
      </w:r>
    </w:p>
    <w:p w:rsidR="003B677F" w:rsidRDefault="001A4D9B" w:rsidP="009F351C">
      <w:pPr>
        <w:tabs>
          <w:tab w:val="center" w:pos="6979"/>
        </w:tabs>
        <w:spacing w:line="580" w:lineRule="exact"/>
        <w:ind w:firstLineChars="98" w:firstLine="315"/>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9F351C" w:rsidRDefault="009F351C" w:rsidP="009F351C">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7237.27</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2868.4万元，增长60.15%。</w:t>
      </w:r>
    </w:p>
    <w:p w:rsidR="003B677F" w:rsidRDefault="001A4D9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166418" w:rsidRDefault="00166418" w:rsidP="0016641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2023年度本年收入合计</w:t>
      </w:r>
      <w:r>
        <w:rPr>
          <w:rFonts w:ascii="仿宋_GB2312" w:eastAsia="仿宋_GB2312"/>
          <w:sz w:val="28"/>
          <w:szCs w:val="28"/>
        </w:rPr>
        <w:t>5722.93</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1354.05万元，增长30.99%。</w:t>
      </w:r>
    </w:p>
    <w:p w:rsidR="00166418" w:rsidRDefault="00166418" w:rsidP="00166418">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2711.45</w:t>
      </w:r>
      <w:r>
        <w:rPr>
          <w:rFonts w:ascii="仿宋_GB2312" w:eastAsia="仿宋_GB2312" w:hint="eastAsia"/>
          <w:sz w:val="28"/>
          <w:szCs w:val="28"/>
        </w:rPr>
        <w:t>万元，占收入合计的</w:t>
      </w:r>
      <w:r>
        <w:rPr>
          <w:rFonts w:ascii="仿宋_GB2312" w:eastAsia="仿宋_GB2312"/>
          <w:sz w:val="28"/>
          <w:szCs w:val="28"/>
        </w:rPr>
        <w:t>47.37</w:t>
      </w:r>
      <w:r>
        <w:rPr>
          <w:rFonts w:ascii="仿宋_GB2312" w:eastAsia="仿宋_GB2312" w:hint="eastAsia"/>
          <w:sz w:val="28"/>
          <w:szCs w:val="28"/>
        </w:rPr>
        <w:t>%。其中：一般公共预算财政拨款收入</w:t>
      </w:r>
      <w:r>
        <w:rPr>
          <w:rFonts w:ascii="仿宋_GB2312" w:eastAsia="仿宋_GB2312"/>
          <w:sz w:val="28"/>
          <w:szCs w:val="28"/>
        </w:rPr>
        <w:t>2711.45</w:t>
      </w:r>
      <w:r>
        <w:rPr>
          <w:rFonts w:ascii="仿宋_GB2312" w:eastAsia="仿宋_GB2312" w:hint="eastAsia"/>
          <w:sz w:val="28"/>
          <w:szCs w:val="28"/>
        </w:rPr>
        <w:t>万元，占收入合</w:t>
      </w:r>
      <w:r>
        <w:rPr>
          <w:rFonts w:ascii="仿宋_GB2312" w:eastAsia="仿宋_GB2312" w:hint="eastAsia"/>
          <w:sz w:val="28"/>
          <w:szCs w:val="28"/>
        </w:rPr>
        <w:lastRenderedPageBreak/>
        <w:t>计的</w:t>
      </w:r>
      <w:r>
        <w:rPr>
          <w:rFonts w:ascii="仿宋_GB2312" w:eastAsia="仿宋_GB2312"/>
          <w:sz w:val="28"/>
          <w:szCs w:val="28"/>
        </w:rPr>
        <w:t>47.37</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166418" w:rsidRDefault="00166418" w:rsidP="0016641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166418" w:rsidRDefault="00166418" w:rsidP="0016641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2174.95</w:t>
      </w:r>
      <w:r>
        <w:rPr>
          <w:rFonts w:ascii="仿宋_GB2312" w:eastAsia="仿宋_GB2312" w:hint="eastAsia"/>
          <w:sz w:val="28"/>
          <w:szCs w:val="28"/>
        </w:rPr>
        <w:t>万元，占收入合计的</w:t>
      </w:r>
      <w:r>
        <w:rPr>
          <w:rFonts w:ascii="仿宋_GB2312" w:eastAsia="仿宋_GB2312"/>
          <w:sz w:val="28"/>
          <w:szCs w:val="28"/>
        </w:rPr>
        <w:t>38</w:t>
      </w:r>
      <w:r>
        <w:rPr>
          <w:rFonts w:ascii="仿宋_GB2312" w:eastAsia="仿宋_GB2312" w:hint="eastAsia"/>
          <w:sz w:val="28"/>
          <w:szCs w:val="28"/>
        </w:rPr>
        <w:t>%；</w:t>
      </w:r>
    </w:p>
    <w:p w:rsidR="00166418" w:rsidRDefault="00166418" w:rsidP="0016641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166418" w:rsidRDefault="00166418" w:rsidP="0016641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166418" w:rsidRDefault="00166418" w:rsidP="0016641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836.53</w:t>
      </w:r>
      <w:r>
        <w:rPr>
          <w:rFonts w:ascii="仿宋_GB2312" w:eastAsia="仿宋_GB2312" w:hint="eastAsia"/>
          <w:sz w:val="28"/>
          <w:szCs w:val="28"/>
        </w:rPr>
        <w:t>万元，占收入合计的</w:t>
      </w:r>
      <w:r>
        <w:rPr>
          <w:rFonts w:ascii="仿宋_GB2312" w:eastAsia="仿宋_GB2312"/>
          <w:sz w:val="28"/>
          <w:szCs w:val="28"/>
        </w:rPr>
        <w:t>14.61</w:t>
      </w:r>
      <w:r>
        <w:rPr>
          <w:rFonts w:ascii="仿宋_GB2312" w:eastAsia="仿宋_GB2312" w:hint="eastAsia"/>
          <w:sz w:val="28"/>
          <w:szCs w:val="28"/>
        </w:rPr>
        <w:t>%。</w:t>
      </w:r>
    </w:p>
    <w:p w:rsidR="00166418" w:rsidRDefault="00166418" w:rsidP="00166418">
      <w:pPr>
        <w:pStyle w:val="2"/>
        <w:ind w:firstLineChars="1749" w:firstLine="5619"/>
      </w:pPr>
      <w:r>
        <w:rPr>
          <w:rFonts w:ascii="仿宋_GB2312" w:eastAsia="仿宋_GB2312" w:hint="eastAsia"/>
          <w:color w:val="000000"/>
          <w:sz w:val="32"/>
        </w:rPr>
        <w:t>图1：收入决算</w:t>
      </w:r>
    </w:p>
    <w:p w:rsidR="00166418" w:rsidRDefault="00166418" w:rsidP="00166418">
      <w:pPr>
        <w:jc w:val="center"/>
      </w:pPr>
      <w:r>
        <w:rPr>
          <w:noProof/>
        </w:rPr>
        <w:drawing>
          <wp:inline distT="0" distB="0" distL="0" distR="0">
            <wp:extent cx="3916680" cy="2647950"/>
            <wp:effectExtent l="0" t="0" r="0" b="0"/>
            <wp:docPr id="2" name="图表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66418" w:rsidRDefault="001A4D9B" w:rsidP="00166418">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r w:rsidR="00166418">
        <w:rPr>
          <w:rFonts w:ascii="仿宋_GB2312" w:eastAsia="仿宋_GB2312" w:hint="eastAsia"/>
          <w:sz w:val="28"/>
          <w:szCs w:val="28"/>
        </w:rPr>
        <w:t>2023年度本年支出合计</w:t>
      </w:r>
      <w:r w:rsidR="00166418">
        <w:rPr>
          <w:rFonts w:ascii="仿宋_GB2312" w:eastAsia="仿宋_GB2312"/>
          <w:sz w:val="28"/>
          <w:szCs w:val="28"/>
        </w:rPr>
        <w:t>4165.97</w:t>
      </w:r>
      <w:r w:rsidR="00166418">
        <w:rPr>
          <w:rFonts w:ascii="仿宋_GB2312" w:eastAsia="仿宋_GB2312" w:hint="eastAsia"/>
          <w:sz w:val="28"/>
          <w:szCs w:val="28"/>
        </w:rPr>
        <w:t>万元，</w:t>
      </w:r>
      <w:r w:rsidR="00166418">
        <w:rPr>
          <w:rFonts w:ascii="仿宋_GB2312" w:eastAsia="仿宋_GB2312"/>
          <w:sz w:val="28"/>
          <w:szCs w:val="28"/>
        </w:rPr>
        <w:t>比上年增加</w:t>
      </w:r>
      <w:r w:rsidR="00166418">
        <w:rPr>
          <w:rFonts w:ascii="仿宋_GB2312" w:eastAsia="仿宋_GB2312" w:hint="eastAsia"/>
          <w:sz w:val="28"/>
          <w:szCs w:val="28"/>
        </w:rPr>
        <w:t>660.36万元，增长18.84%，其中：基本支出</w:t>
      </w:r>
      <w:r w:rsidR="00166418">
        <w:rPr>
          <w:rFonts w:ascii="仿宋_GB2312" w:eastAsia="仿宋_GB2312"/>
          <w:sz w:val="28"/>
          <w:szCs w:val="28"/>
        </w:rPr>
        <w:t>3329.3</w:t>
      </w:r>
      <w:r w:rsidR="00166418">
        <w:rPr>
          <w:rFonts w:ascii="仿宋_GB2312" w:eastAsia="仿宋_GB2312" w:hint="eastAsia"/>
          <w:sz w:val="28"/>
          <w:szCs w:val="28"/>
        </w:rPr>
        <w:t>万元，占支出合计的</w:t>
      </w:r>
      <w:r w:rsidR="00166418">
        <w:rPr>
          <w:rFonts w:ascii="仿宋_GB2312" w:eastAsia="仿宋_GB2312"/>
          <w:sz w:val="28"/>
          <w:szCs w:val="28"/>
        </w:rPr>
        <w:t>79.91</w:t>
      </w:r>
      <w:r w:rsidR="00166418">
        <w:rPr>
          <w:rFonts w:ascii="仿宋_GB2312" w:eastAsia="仿宋_GB2312" w:hint="eastAsia"/>
          <w:sz w:val="28"/>
          <w:szCs w:val="28"/>
        </w:rPr>
        <w:t>%；项目支出</w:t>
      </w:r>
      <w:r w:rsidR="00166418">
        <w:rPr>
          <w:rFonts w:ascii="仿宋_GB2312" w:eastAsia="仿宋_GB2312"/>
          <w:sz w:val="28"/>
          <w:szCs w:val="28"/>
        </w:rPr>
        <w:t>836.67</w:t>
      </w:r>
      <w:r w:rsidR="00166418">
        <w:rPr>
          <w:rFonts w:ascii="仿宋_GB2312" w:eastAsia="仿宋_GB2312" w:hint="eastAsia"/>
          <w:sz w:val="28"/>
          <w:szCs w:val="28"/>
        </w:rPr>
        <w:t>万元，占支出合计的</w:t>
      </w:r>
      <w:r w:rsidR="00166418">
        <w:rPr>
          <w:rFonts w:ascii="仿宋_GB2312" w:eastAsia="仿宋_GB2312"/>
          <w:sz w:val="28"/>
          <w:szCs w:val="28"/>
        </w:rPr>
        <w:t>20.08</w:t>
      </w:r>
      <w:r w:rsidR="00166418">
        <w:rPr>
          <w:rFonts w:ascii="仿宋_GB2312" w:eastAsia="仿宋_GB2312" w:hint="eastAsia"/>
          <w:sz w:val="28"/>
          <w:szCs w:val="28"/>
        </w:rPr>
        <w:t>%;上缴上级支出</w:t>
      </w:r>
      <w:r w:rsidR="00166418">
        <w:rPr>
          <w:rFonts w:ascii="仿宋_GB2312" w:eastAsia="仿宋_GB2312"/>
          <w:sz w:val="28"/>
          <w:szCs w:val="28"/>
        </w:rPr>
        <w:t>0</w:t>
      </w:r>
      <w:r w:rsidR="00166418">
        <w:rPr>
          <w:rFonts w:ascii="仿宋_GB2312" w:eastAsia="仿宋_GB2312" w:hint="eastAsia"/>
          <w:sz w:val="28"/>
          <w:szCs w:val="28"/>
        </w:rPr>
        <w:t>万元，占支出合计的</w:t>
      </w:r>
      <w:r w:rsidR="00166418">
        <w:rPr>
          <w:rFonts w:ascii="仿宋_GB2312" w:eastAsia="仿宋_GB2312"/>
          <w:sz w:val="28"/>
          <w:szCs w:val="28"/>
        </w:rPr>
        <w:t>0</w:t>
      </w:r>
      <w:r w:rsidR="00166418">
        <w:rPr>
          <w:rFonts w:ascii="仿宋_GB2312" w:eastAsia="仿宋_GB2312" w:hint="eastAsia"/>
          <w:sz w:val="28"/>
          <w:szCs w:val="28"/>
        </w:rPr>
        <w:t>%；经营支出</w:t>
      </w:r>
      <w:r w:rsidR="00166418">
        <w:rPr>
          <w:rFonts w:ascii="仿宋_GB2312" w:eastAsia="仿宋_GB2312"/>
          <w:sz w:val="28"/>
          <w:szCs w:val="28"/>
        </w:rPr>
        <w:t>0</w:t>
      </w:r>
      <w:r w:rsidR="00166418">
        <w:rPr>
          <w:rFonts w:ascii="仿宋_GB2312" w:eastAsia="仿宋_GB2312" w:hint="eastAsia"/>
          <w:sz w:val="28"/>
          <w:szCs w:val="28"/>
        </w:rPr>
        <w:t>万元，占支出合计的</w:t>
      </w:r>
      <w:r w:rsidR="00166418">
        <w:rPr>
          <w:rFonts w:ascii="仿宋_GB2312" w:eastAsia="仿宋_GB2312"/>
          <w:sz w:val="28"/>
          <w:szCs w:val="28"/>
        </w:rPr>
        <w:t>0</w:t>
      </w:r>
      <w:r w:rsidR="00166418">
        <w:rPr>
          <w:rFonts w:ascii="仿宋_GB2312" w:eastAsia="仿宋_GB2312" w:hint="eastAsia"/>
          <w:sz w:val="28"/>
          <w:szCs w:val="28"/>
        </w:rPr>
        <w:t>%；对附属单位补助支出</w:t>
      </w:r>
      <w:r w:rsidR="00166418">
        <w:rPr>
          <w:rFonts w:ascii="仿宋_GB2312" w:eastAsia="仿宋_GB2312"/>
          <w:sz w:val="28"/>
          <w:szCs w:val="28"/>
        </w:rPr>
        <w:t>0</w:t>
      </w:r>
      <w:r w:rsidR="00166418">
        <w:rPr>
          <w:rFonts w:ascii="仿宋_GB2312" w:eastAsia="仿宋_GB2312" w:hint="eastAsia"/>
          <w:sz w:val="28"/>
          <w:szCs w:val="28"/>
        </w:rPr>
        <w:t>万元，占支出合计的</w:t>
      </w:r>
      <w:r w:rsidR="00166418">
        <w:rPr>
          <w:rFonts w:ascii="仿宋_GB2312" w:eastAsia="仿宋_GB2312"/>
          <w:sz w:val="28"/>
          <w:szCs w:val="28"/>
        </w:rPr>
        <w:t>0</w:t>
      </w:r>
      <w:r w:rsidR="00166418">
        <w:rPr>
          <w:rFonts w:ascii="仿宋_GB2312" w:eastAsia="仿宋_GB2312" w:hint="eastAsia"/>
          <w:sz w:val="28"/>
          <w:szCs w:val="28"/>
        </w:rPr>
        <w:t>%。</w:t>
      </w:r>
    </w:p>
    <w:p w:rsidR="00166418" w:rsidRDefault="00166418" w:rsidP="00166418">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166418" w:rsidRPr="00166418" w:rsidRDefault="00166418" w:rsidP="00166418">
      <w:r>
        <w:rPr>
          <w:rFonts w:hint="eastAsia"/>
        </w:rPr>
        <w:t xml:space="preserve">                             </w:t>
      </w:r>
      <w:r w:rsidR="008A5835">
        <w:rPr>
          <w:rFonts w:hint="eastAsia"/>
        </w:rPr>
        <w:t xml:space="preserve">                   </w:t>
      </w:r>
      <w:r>
        <w:rPr>
          <w:rFonts w:hint="eastAsia"/>
        </w:rPr>
        <w:t xml:space="preserve">  </w:t>
      </w:r>
      <w:r>
        <w:rPr>
          <w:rFonts w:ascii="黑体" w:eastAsia="黑体"/>
          <w:b/>
          <w:noProof/>
          <w:sz w:val="28"/>
          <w:szCs w:val="28"/>
        </w:rPr>
        <w:drawing>
          <wp:inline distT="0" distB="0" distL="0" distR="0">
            <wp:extent cx="4121785" cy="2879725"/>
            <wp:effectExtent l="0" t="0" r="0" b="0"/>
            <wp:docPr id="8" name="图表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B677F" w:rsidRDefault="00166418" w:rsidP="00166418">
      <w:pPr>
        <w:tabs>
          <w:tab w:val="center" w:pos="6979"/>
        </w:tabs>
        <w:spacing w:line="580" w:lineRule="exact"/>
        <w:ind w:firstLine="570"/>
        <w:rPr>
          <w:rFonts w:ascii="仿宋_GB2312" w:eastAsia="仿宋_GB2312"/>
          <w:sz w:val="28"/>
          <w:szCs w:val="28"/>
        </w:rPr>
      </w:pPr>
      <w:r>
        <w:rPr>
          <w:rFonts w:ascii="黑体" w:eastAsia="黑体"/>
          <w:b/>
          <w:noProof/>
          <w:sz w:val="28"/>
          <w:szCs w:val="28"/>
        </w:rPr>
        <w:drawing>
          <wp:inline distT="0" distB="0" distL="0" distR="0">
            <wp:extent cx="4121785" cy="2879725"/>
            <wp:effectExtent l="0" t="0" r="0" b="0"/>
            <wp:docPr id="6" name="图表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Pr>
          <w:rFonts w:ascii="黑体" w:eastAsia="黑体"/>
          <w:b/>
          <w:noProof/>
          <w:sz w:val="28"/>
          <w:szCs w:val="28"/>
        </w:rPr>
        <w:drawing>
          <wp:inline distT="0" distB="0" distL="0" distR="0">
            <wp:extent cx="4121785" cy="2879725"/>
            <wp:effectExtent l="0" t="0" r="0" b="0"/>
            <wp:docPr id="7" name="图表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B677F" w:rsidRDefault="001A4D9B" w:rsidP="009F351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8A5835" w:rsidRDefault="008A5835" w:rsidP="008A5835">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2890.92</w:t>
      </w:r>
      <w:r>
        <w:rPr>
          <w:rFonts w:ascii="仿宋_GB2312" w:eastAsia="仿宋_GB2312" w:hint="eastAsia"/>
          <w:sz w:val="28"/>
          <w:szCs w:val="28"/>
        </w:rPr>
        <w:t>万元，比上年减少100.75万元，下降3.37%。主要原因：因为</w:t>
      </w:r>
      <w:r w:rsidR="00437389">
        <w:rPr>
          <w:rFonts w:ascii="仿宋_GB2312" w:eastAsia="仿宋_GB2312" w:hint="eastAsia"/>
          <w:sz w:val="28"/>
          <w:szCs w:val="28"/>
        </w:rPr>
        <w:t>上年工资结</w:t>
      </w:r>
      <w:r w:rsidR="00437389">
        <w:rPr>
          <w:rFonts w:ascii="仿宋_GB2312" w:eastAsia="仿宋_GB2312" w:hint="eastAsia"/>
          <w:sz w:val="28"/>
          <w:szCs w:val="28"/>
        </w:rPr>
        <w:lastRenderedPageBreak/>
        <w:t>构调整，</w:t>
      </w:r>
      <w:r>
        <w:rPr>
          <w:rFonts w:ascii="仿宋_GB2312" w:eastAsia="仿宋_GB2312" w:hint="eastAsia"/>
          <w:sz w:val="28"/>
          <w:szCs w:val="28"/>
        </w:rPr>
        <w:t>2023年人员绩效支出较上年减少。</w:t>
      </w:r>
    </w:p>
    <w:p w:rsidR="003B677F" w:rsidRDefault="001A4D9B" w:rsidP="009F351C">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8A5835" w:rsidRDefault="008A5835" w:rsidP="008A583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8A5835" w:rsidRDefault="008A5835" w:rsidP="008A5835">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2023年度一般公共预算财政拨款支出</w:t>
      </w:r>
      <w:r>
        <w:rPr>
          <w:rFonts w:ascii="仿宋_GB2312" w:eastAsia="仿宋_GB2312"/>
          <w:sz w:val="28"/>
          <w:szCs w:val="28"/>
        </w:rPr>
        <w:t>2805.79</w:t>
      </w:r>
      <w:r>
        <w:rPr>
          <w:rFonts w:ascii="仿宋_GB2312" w:eastAsia="仿宋_GB2312" w:hint="eastAsia"/>
          <w:sz w:val="28"/>
          <w:szCs w:val="28"/>
        </w:rPr>
        <w:t>万元，主要用于以下方面（按大类）：教育支出0.85万元，占本年财政拨款支出0.03%； 文化旅游体育与传媒支出2756.25万元，占本年财政拨款支出的98.23%；社会保障和就业支出48.70万元，占本年财政拨款支出1.69%。</w:t>
      </w:r>
    </w:p>
    <w:p w:rsidR="008A5835" w:rsidRDefault="008A5835" w:rsidP="008A5835">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1、“教育支出”（类）2023年度决算数0.85万元，比2023年年初预算减少2.75万元，减少76.38%。其中：</w:t>
      </w:r>
    </w:p>
    <w:p w:rsidR="008A5835" w:rsidRDefault="008A5835" w:rsidP="008A5835">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“进修及培训”（款）2023年度决算数0.85万元，比2023年年初预算减少2.75万元，减少76.38%。主要原因：我单位严控培训活动支出。</w:t>
      </w:r>
    </w:p>
    <w:p w:rsidR="008A5835" w:rsidRDefault="008A5835" w:rsidP="008A5835">
      <w:pPr>
        <w:spacing w:line="580" w:lineRule="exact"/>
        <w:ind w:firstLineChars="200" w:firstLine="560"/>
        <w:rPr>
          <w:rFonts w:ascii="仿宋_GB2312" w:eastAsia="仿宋_GB2312"/>
          <w:sz w:val="28"/>
          <w:szCs w:val="28"/>
        </w:rPr>
      </w:pPr>
      <w:r>
        <w:rPr>
          <w:rFonts w:ascii="仿宋_GB2312" w:eastAsia="仿宋_GB2312" w:hint="eastAsia"/>
          <w:sz w:val="28"/>
          <w:szCs w:val="28"/>
        </w:rPr>
        <w:t>2、“文化旅游体育与传媒支出”(类)2023年度决算2756.25万元，比2023年年初预算减少79.89万元，减少2.82%。其中：</w:t>
      </w:r>
    </w:p>
    <w:p w:rsidR="008A5835" w:rsidRDefault="008A5835" w:rsidP="008A5835">
      <w:pPr>
        <w:spacing w:line="580" w:lineRule="exact"/>
        <w:ind w:firstLineChars="200" w:firstLine="560"/>
        <w:rPr>
          <w:rFonts w:ascii="仿宋_GB2312" w:eastAsia="仿宋_GB2312"/>
          <w:sz w:val="28"/>
          <w:szCs w:val="28"/>
        </w:rPr>
      </w:pPr>
      <w:r>
        <w:rPr>
          <w:rFonts w:ascii="仿宋_GB2312" w:eastAsia="仿宋_GB2312" w:hint="eastAsia"/>
          <w:sz w:val="28"/>
          <w:szCs w:val="28"/>
        </w:rPr>
        <w:t>“文物”（款）2022年度决算数2756.25万元，比2023年年初预算减少79.89万元，减少2.82%。主要原因：</w:t>
      </w:r>
      <w:r w:rsidR="00437389">
        <w:rPr>
          <w:rFonts w:ascii="仿宋_GB2312" w:eastAsia="仿宋_GB2312" w:hint="eastAsia"/>
          <w:sz w:val="28"/>
          <w:szCs w:val="28"/>
        </w:rPr>
        <w:t>上</w:t>
      </w:r>
      <w:r>
        <w:rPr>
          <w:rFonts w:ascii="仿宋_GB2312" w:eastAsia="仿宋_GB2312" w:hint="eastAsia"/>
          <w:sz w:val="28"/>
          <w:szCs w:val="28"/>
        </w:rPr>
        <w:t>年</w:t>
      </w:r>
      <w:r w:rsidR="00437389">
        <w:rPr>
          <w:rFonts w:ascii="仿宋_GB2312" w:eastAsia="仿宋_GB2312" w:hint="eastAsia"/>
          <w:sz w:val="28"/>
          <w:szCs w:val="28"/>
        </w:rPr>
        <w:t>工资结构调整</w:t>
      </w:r>
      <w:r>
        <w:rPr>
          <w:rFonts w:ascii="仿宋_GB2312" w:eastAsia="仿宋_GB2312" w:hint="eastAsia"/>
          <w:sz w:val="28"/>
          <w:szCs w:val="28"/>
        </w:rPr>
        <w:t>，2023年</w:t>
      </w:r>
      <w:r w:rsidR="00437389">
        <w:rPr>
          <w:rFonts w:ascii="仿宋_GB2312" w:eastAsia="仿宋_GB2312" w:hint="eastAsia"/>
          <w:sz w:val="28"/>
          <w:szCs w:val="28"/>
        </w:rPr>
        <w:t>人员</w:t>
      </w:r>
      <w:r>
        <w:rPr>
          <w:rFonts w:ascii="仿宋_GB2312" w:eastAsia="仿宋_GB2312" w:hint="eastAsia"/>
          <w:sz w:val="28"/>
          <w:szCs w:val="28"/>
        </w:rPr>
        <w:t>绩效</w:t>
      </w:r>
      <w:r w:rsidR="00437389">
        <w:rPr>
          <w:rFonts w:ascii="仿宋_GB2312" w:eastAsia="仿宋_GB2312" w:hint="eastAsia"/>
          <w:sz w:val="28"/>
          <w:szCs w:val="28"/>
        </w:rPr>
        <w:t>支出</w:t>
      </w:r>
      <w:r>
        <w:rPr>
          <w:rFonts w:ascii="仿宋_GB2312" w:eastAsia="仿宋_GB2312" w:hint="eastAsia"/>
          <w:sz w:val="28"/>
          <w:szCs w:val="28"/>
        </w:rPr>
        <w:t>比上年减少。</w:t>
      </w:r>
    </w:p>
    <w:p w:rsidR="008A5835" w:rsidRDefault="008A5835" w:rsidP="008A5835">
      <w:pPr>
        <w:pStyle w:val="a0"/>
        <w:ind w:firstLine="560"/>
        <w:rPr>
          <w:rFonts w:ascii="仿宋_GB2312" w:eastAsia="仿宋_GB2312"/>
          <w:sz w:val="28"/>
          <w:szCs w:val="28"/>
        </w:rPr>
      </w:pPr>
      <w:r>
        <w:rPr>
          <w:rFonts w:ascii="仿宋_GB2312" w:eastAsia="仿宋_GB2312" w:hint="eastAsia"/>
          <w:sz w:val="28"/>
          <w:szCs w:val="28"/>
        </w:rPr>
        <w:t>3、“社会保障和就业支出”（类）2023年度决算数48.70万元，比2023年初预算减少0.02万元。其中：</w:t>
      </w:r>
    </w:p>
    <w:p w:rsidR="008A5835" w:rsidRDefault="008A5835" w:rsidP="008A5835">
      <w:pPr>
        <w:pStyle w:val="a0"/>
        <w:ind w:firstLine="560"/>
        <w:rPr>
          <w:rFonts w:ascii="仿宋_GB2312" w:eastAsia="仿宋_GB2312"/>
          <w:sz w:val="28"/>
          <w:szCs w:val="28"/>
        </w:rPr>
      </w:pPr>
      <w:r>
        <w:rPr>
          <w:rFonts w:ascii="仿宋_GB2312" w:eastAsia="仿宋_GB2312" w:hint="eastAsia"/>
          <w:sz w:val="28"/>
          <w:szCs w:val="28"/>
        </w:rPr>
        <w:t>“行政事业单位养老支出”（款）2023年度决算数48.70万元，比2023年初预算减少0.02万元。因为离退休公用支出结余0.02万元。</w:t>
      </w:r>
    </w:p>
    <w:p w:rsidR="003B677F" w:rsidRDefault="001A4D9B" w:rsidP="009F351C">
      <w:pPr>
        <w:spacing w:line="580" w:lineRule="exact"/>
        <w:ind w:firstLineChars="200" w:firstLine="562"/>
        <w:rPr>
          <w:rFonts w:ascii="仿宋_GB2312" w:eastAsia="仿宋_GB2312"/>
          <w:sz w:val="28"/>
          <w:szCs w:val="28"/>
        </w:rPr>
      </w:pPr>
      <w:r>
        <w:rPr>
          <w:rFonts w:ascii="黑体" w:eastAsia="黑体" w:hint="eastAsia"/>
          <w:b/>
          <w:sz w:val="28"/>
          <w:szCs w:val="28"/>
        </w:rPr>
        <w:lastRenderedPageBreak/>
        <w:t>五、政府性基金预算财政拨款支出决算情况说明</w:t>
      </w:r>
    </w:p>
    <w:p w:rsidR="008A5835" w:rsidRDefault="008A5835" w:rsidP="008A5835">
      <w:pPr>
        <w:spacing w:line="580" w:lineRule="exact"/>
        <w:ind w:firstLineChars="200" w:firstLine="560"/>
        <w:rPr>
          <w:rFonts w:ascii="仿宋_GB2312" w:eastAsia="仿宋_GB2312"/>
          <w:sz w:val="28"/>
          <w:szCs w:val="28"/>
        </w:rPr>
      </w:pPr>
      <w:r>
        <w:rPr>
          <w:rFonts w:ascii="仿宋_GB2312" w:eastAsia="仿宋_GB2312" w:hint="eastAsia"/>
          <w:sz w:val="28"/>
          <w:szCs w:val="28"/>
        </w:rPr>
        <w:t>我单位无政府性基金预算财政拨款收支情况。</w:t>
      </w:r>
    </w:p>
    <w:p w:rsidR="003B677F" w:rsidRDefault="001A4D9B" w:rsidP="008A5835">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8A5835" w:rsidRDefault="008A5835" w:rsidP="008A5835">
      <w:pPr>
        <w:spacing w:line="580" w:lineRule="exact"/>
        <w:ind w:firstLineChars="196" w:firstLine="549"/>
        <w:rPr>
          <w:rFonts w:ascii="仿宋_GB2312" w:eastAsia="仿宋_GB2312"/>
          <w:sz w:val="28"/>
          <w:szCs w:val="28"/>
        </w:rPr>
      </w:pPr>
      <w:r>
        <w:rPr>
          <w:rFonts w:ascii="仿宋_GB2312" w:eastAsia="仿宋_GB2312" w:hint="eastAsia"/>
          <w:sz w:val="28"/>
          <w:szCs w:val="28"/>
        </w:rPr>
        <w:t>我单位无国有资本经营预算财政拨款收支情况。</w:t>
      </w:r>
    </w:p>
    <w:p w:rsidR="003B677F" w:rsidRDefault="001A4D9B" w:rsidP="008A5835">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3B677F" w:rsidRDefault="001A4D9B" w:rsidP="009F351C">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Pr>
          <w:rFonts w:ascii="仿宋_GB2312" w:eastAsia="仿宋_GB2312"/>
          <w:sz w:val="28"/>
          <w:szCs w:val="28"/>
        </w:rPr>
        <w:t>2790.12</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3B677F" w:rsidRDefault="001A4D9B">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3B677F" w:rsidRDefault="001A4D9B">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8A5835" w:rsidRDefault="008A5835" w:rsidP="008A5835">
      <w:pPr>
        <w:spacing w:line="560" w:lineRule="exact"/>
        <w:ind w:firstLine="600"/>
        <w:rPr>
          <w:rFonts w:ascii="仿宋_GB2312" w:eastAsia="仿宋_GB2312"/>
          <w:sz w:val="28"/>
          <w:szCs w:val="28"/>
        </w:rPr>
      </w:pPr>
      <w:r>
        <w:rPr>
          <w:rFonts w:ascii="仿宋_GB2312" w:eastAsia="仿宋_GB2312" w:hint="eastAsia"/>
          <w:sz w:val="28"/>
          <w:szCs w:val="28"/>
        </w:rPr>
        <w:t>2023年度“三公”经费财政拨款决算数</w:t>
      </w:r>
      <w:r>
        <w:rPr>
          <w:rFonts w:ascii="仿宋_GB2312" w:eastAsia="仿宋_GB2312"/>
          <w:sz w:val="28"/>
          <w:szCs w:val="28"/>
        </w:rPr>
        <w:t>15.67</w:t>
      </w:r>
      <w:r>
        <w:rPr>
          <w:rFonts w:ascii="仿宋_GB2312" w:eastAsia="仿宋_GB2312" w:hint="eastAsia"/>
          <w:sz w:val="28"/>
          <w:szCs w:val="28"/>
        </w:rPr>
        <w:t>万元，比2023年度“三公”经费财政拨款年初预算</w:t>
      </w:r>
      <w:r>
        <w:rPr>
          <w:rFonts w:ascii="仿宋_GB2312" w:eastAsia="仿宋_GB2312"/>
          <w:sz w:val="28"/>
          <w:szCs w:val="28"/>
        </w:rPr>
        <w:t>17.05</w:t>
      </w:r>
      <w:r>
        <w:rPr>
          <w:rFonts w:ascii="仿宋_GB2312" w:eastAsia="仿宋_GB2312" w:hint="eastAsia"/>
          <w:sz w:val="28"/>
          <w:szCs w:val="28"/>
        </w:rPr>
        <w:t>万元减少</w:t>
      </w:r>
      <w:r>
        <w:rPr>
          <w:rFonts w:ascii="仿宋_GB2312" w:eastAsia="仿宋_GB2312"/>
          <w:sz w:val="28"/>
          <w:szCs w:val="28"/>
        </w:rPr>
        <w:t>-1.37</w:t>
      </w:r>
      <w:r>
        <w:rPr>
          <w:rFonts w:ascii="仿宋_GB2312" w:eastAsia="仿宋_GB2312" w:hint="eastAsia"/>
          <w:sz w:val="28"/>
          <w:szCs w:val="28"/>
        </w:rPr>
        <w:t>万元。其中：</w:t>
      </w:r>
    </w:p>
    <w:p w:rsidR="008A5835" w:rsidRDefault="008A5835" w:rsidP="008A5835">
      <w:pPr>
        <w:spacing w:line="560" w:lineRule="exact"/>
        <w:ind w:firstLine="600"/>
        <w:rPr>
          <w:rFonts w:ascii="仿宋_GB2312" w:eastAsia="仿宋_GB2312"/>
          <w:sz w:val="28"/>
          <w:szCs w:val="28"/>
        </w:rPr>
      </w:pPr>
      <w:r>
        <w:rPr>
          <w:rFonts w:ascii="仿宋_GB2312" w:eastAsia="仿宋_GB2312" w:hint="eastAsia"/>
          <w:sz w:val="28"/>
          <w:szCs w:val="28"/>
        </w:rPr>
        <w:t>1.因公出国（境）费用。2023年度决算数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Pr>
          <w:rFonts w:ascii="仿宋_GB2312" w:eastAsia="仿宋_GB2312" w:hint="eastAsia"/>
          <w:sz w:val="28"/>
          <w:szCs w:val="28"/>
        </w:rPr>
        <w:t>万元增加</w:t>
      </w:r>
      <w:r>
        <w:rPr>
          <w:rFonts w:ascii="仿宋_GB2312" w:eastAsia="仿宋_GB2312"/>
          <w:sz w:val="28"/>
          <w:szCs w:val="28"/>
        </w:rPr>
        <w:t>0</w:t>
      </w:r>
      <w:r>
        <w:rPr>
          <w:rFonts w:ascii="仿宋_GB2312" w:eastAsia="仿宋_GB2312" w:hint="eastAsia"/>
          <w:sz w:val="28"/>
          <w:szCs w:val="28"/>
        </w:rPr>
        <w:t>万元。主要原因：2023年我单位无此项支出。</w:t>
      </w:r>
    </w:p>
    <w:p w:rsidR="008A5835" w:rsidRDefault="008A5835" w:rsidP="008A5835">
      <w:pPr>
        <w:spacing w:line="560" w:lineRule="exact"/>
        <w:ind w:firstLine="600"/>
        <w:rPr>
          <w:rFonts w:ascii="仿宋_GB2312" w:eastAsia="仿宋_GB2312"/>
          <w:sz w:val="28"/>
          <w:szCs w:val="28"/>
        </w:rPr>
      </w:pPr>
      <w:r>
        <w:rPr>
          <w:rFonts w:ascii="仿宋_GB2312" w:eastAsia="仿宋_GB2312" w:hint="eastAsia"/>
          <w:sz w:val="28"/>
          <w:szCs w:val="28"/>
        </w:rPr>
        <w:t>2.公务接待费。2023年度决算数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0.4</w:t>
      </w:r>
      <w:r>
        <w:rPr>
          <w:rFonts w:ascii="仿宋_GB2312" w:eastAsia="仿宋_GB2312" w:hint="eastAsia"/>
          <w:sz w:val="28"/>
          <w:szCs w:val="28"/>
        </w:rPr>
        <w:t>万元减少</w:t>
      </w:r>
      <w:r>
        <w:rPr>
          <w:rFonts w:ascii="仿宋_GB2312" w:eastAsia="仿宋_GB2312"/>
          <w:sz w:val="28"/>
          <w:szCs w:val="28"/>
        </w:rPr>
        <w:t>0</w:t>
      </w:r>
      <w:r>
        <w:rPr>
          <w:rFonts w:ascii="仿宋_GB2312" w:eastAsia="仿宋_GB2312" w:hint="eastAsia"/>
          <w:sz w:val="28"/>
          <w:szCs w:val="28"/>
        </w:rPr>
        <w:t>.4万元。主要原因： 2023年度我单位无公务接待支出。</w:t>
      </w:r>
    </w:p>
    <w:p w:rsidR="008A5835" w:rsidRDefault="008A5835" w:rsidP="008A5835">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3.公务用车购置及运行维护费。2023年度决算数15.67万元，比2023年度年初预算数16.65万元减少0.97万元。</w:t>
      </w:r>
    </w:p>
    <w:p w:rsidR="008A5835" w:rsidRDefault="008A5835" w:rsidP="008A5835">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其中，公务用车购置费2023年度决算数</w:t>
      </w:r>
      <w:r>
        <w:rPr>
          <w:rFonts w:ascii="仿宋_GB2312" w:eastAsia="仿宋_GB2312"/>
          <w:sz w:val="28"/>
          <w:szCs w:val="28"/>
        </w:rPr>
        <w:t>15.67</w:t>
      </w:r>
      <w:r>
        <w:rPr>
          <w:rFonts w:ascii="仿宋_GB2312" w:eastAsia="仿宋_GB2312" w:hint="eastAsia"/>
          <w:sz w:val="28"/>
          <w:szCs w:val="28"/>
        </w:rPr>
        <w:t>万元，比2023年度年初预算数</w:t>
      </w:r>
      <w:r>
        <w:rPr>
          <w:rFonts w:ascii="仿宋_GB2312" w:eastAsia="仿宋_GB2312"/>
          <w:sz w:val="28"/>
          <w:szCs w:val="28"/>
        </w:rPr>
        <w:t>16.65</w:t>
      </w:r>
      <w:r>
        <w:rPr>
          <w:rFonts w:ascii="仿宋_GB2312" w:eastAsia="仿宋_GB2312" w:hint="eastAsia"/>
          <w:sz w:val="28"/>
          <w:szCs w:val="28"/>
        </w:rPr>
        <w:t>万元减少</w:t>
      </w:r>
      <w:r>
        <w:rPr>
          <w:rFonts w:ascii="仿宋_GB2312" w:eastAsia="仿宋_GB2312"/>
          <w:sz w:val="28"/>
          <w:szCs w:val="28"/>
        </w:rPr>
        <w:t>0.97</w:t>
      </w:r>
      <w:r>
        <w:rPr>
          <w:rFonts w:ascii="仿宋_GB2312" w:eastAsia="仿宋_GB2312" w:hint="eastAsia"/>
          <w:sz w:val="28"/>
          <w:szCs w:val="28"/>
        </w:rPr>
        <w:t>万元。主要原因：2023年更新公务车1辆，实际购置费比预算低0.97万元，车均购置费15.67万元。公务用车运行维护费2023年度决算数</w:t>
      </w:r>
      <w:r>
        <w:rPr>
          <w:rFonts w:ascii="仿宋_GB2312" w:eastAsia="仿宋_GB2312"/>
          <w:sz w:val="28"/>
          <w:szCs w:val="28"/>
        </w:rPr>
        <w:t>0</w:t>
      </w:r>
      <w:r>
        <w:rPr>
          <w:rFonts w:ascii="仿宋_GB2312" w:eastAsia="仿宋_GB2312" w:hint="eastAsia"/>
          <w:sz w:val="28"/>
          <w:szCs w:val="28"/>
        </w:rPr>
        <w:t>万元，比2023年度年初预算数</w:t>
      </w:r>
      <w:r>
        <w:rPr>
          <w:rFonts w:ascii="仿宋_GB2312" w:eastAsia="仿宋_GB2312"/>
          <w:sz w:val="28"/>
          <w:szCs w:val="28"/>
        </w:rPr>
        <w:t>0</w:t>
      </w:r>
      <w:r>
        <w:rPr>
          <w:rFonts w:ascii="仿宋_GB2312" w:eastAsia="仿宋_GB2312" w:hint="eastAsia"/>
          <w:sz w:val="28"/>
          <w:szCs w:val="28"/>
        </w:rPr>
        <w:t>万元增加</w:t>
      </w:r>
      <w:r>
        <w:rPr>
          <w:rFonts w:ascii="仿宋_GB2312" w:eastAsia="仿宋_GB2312"/>
          <w:sz w:val="28"/>
          <w:szCs w:val="28"/>
        </w:rPr>
        <w:t>0</w:t>
      </w:r>
      <w:r>
        <w:rPr>
          <w:rFonts w:ascii="仿宋_GB2312" w:eastAsia="仿宋_GB2312" w:hint="eastAsia"/>
          <w:sz w:val="28"/>
          <w:szCs w:val="28"/>
        </w:rPr>
        <w:t>万元，主要原因：车辆更新前已停驶无运</w:t>
      </w:r>
      <w:proofErr w:type="gramStart"/>
      <w:r>
        <w:rPr>
          <w:rFonts w:ascii="仿宋_GB2312" w:eastAsia="仿宋_GB2312" w:hint="eastAsia"/>
          <w:sz w:val="28"/>
          <w:szCs w:val="28"/>
        </w:rPr>
        <w:t>维费用</w:t>
      </w:r>
      <w:proofErr w:type="gramEnd"/>
      <w:r>
        <w:rPr>
          <w:rFonts w:ascii="仿宋_GB2312" w:eastAsia="仿宋_GB2312" w:hint="eastAsia"/>
          <w:sz w:val="28"/>
          <w:szCs w:val="28"/>
        </w:rPr>
        <w:t>支出。2023年度公务用车运行维护费中，公务用车加油</w:t>
      </w:r>
      <w:r>
        <w:rPr>
          <w:rFonts w:ascii="仿宋_GB2312" w:eastAsia="仿宋_GB2312"/>
          <w:sz w:val="28"/>
          <w:szCs w:val="28"/>
        </w:rPr>
        <w:t>0</w:t>
      </w:r>
      <w:r>
        <w:rPr>
          <w:rFonts w:ascii="仿宋_GB2312" w:eastAsia="仿宋_GB2312" w:hint="eastAsia"/>
          <w:sz w:val="28"/>
          <w:szCs w:val="28"/>
        </w:rPr>
        <w:t>万元，公务用车维修</w:t>
      </w:r>
      <w:r>
        <w:rPr>
          <w:rFonts w:ascii="仿宋_GB2312" w:eastAsia="仿宋_GB2312"/>
          <w:sz w:val="28"/>
          <w:szCs w:val="28"/>
        </w:rPr>
        <w:t>0</w:t>
      </w:r>
      <w:r>
        <w:rPr>
          <w:rFonts w:ascii="仿宋_GB2312" w:eastAsia="仿宋_GB2312" w:hint="eastAsia"/>
          <w:sz w:val="28"/>
          <w:szCs w:val="28"/>
        </w:rPr>
        <w:t>万元，公务用车保险</w:t>
      </w:r>
      <w:r>
        <w:rPr>
          <w:rFonts w:ascii="仿宋_GB2312" w:eastAsia="仿宋_GB2312"/>
          <w:sz w:val="28"/>
          <w:szCs w:val="28"/>
        </w:rPr>
        <w:t>0</w:t>
      </w:r>
      <w:r>
        <w:rPr>
          <w:rFonts w:ascii="仿宋_GB2312" w:eastAsia="仿宋_GB2312" w:hint="eastAsia"/>
          <w:sz w:val="28"/>
          <w:szCs w:val="28"/>
        </w:rPr>
        <w:t>万元，公务用车其他支出</w:t>
      </w:r>
      <w:r>
        <w:rPr>
          <w:rFonts w:ascii="仿宋_GB2312" w:eastAsia="仿宋_GB2312"/>
          <w:sz w:val="28"/>
          <w:szCs w:val="28"/>
        </w:rPr>
        <w:t>0</w:t>
      </w:r>
      <w:r>
        <w:rPr>
          <w:rFonts w:ascii="仿宋_GB2312" w:eastAsia="仿宋_GB2312" w:hint="eastAsia"/>
          <w:sz w:val="28"/>
          <w:szCs w:val="28"/>
        </w:rPr>
        <w:t>万元。2023年度公务用车保有量2辆，车均运行维护费0万元。</w:t>
      </w:r>
    </w:p>
    <w:p w:rsidR="003B677F" w:rsidRDefault="001A4D9B">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3B677F" w:rsidRDefault="008A5835" w:rsidP="009F351C">
      <w:pPr>
        <w:ind w:firstLineChars="192" w:firstLine="538"/>
        <w:rPr>
          <w:rFonts w:ascii="仿宋_GB2312" w:eastAsia="仿宋_GB2312"/>
          <w:sz w:val="28"/>
          <w:szCs w:val="28"/>
        </w:rPr>
      </w:pPr>
      <w:r>
        <w:rPr>
          <w:rFonts w:ascii="仿宋_GB2312" w:eastAsia="仿宋_GB2312" w:hint="eastAsia"/>
          <w:color w:val="404040"/>
          <w:sz w:val="28"/>
          <w:szCs w:val="28"/>
        </w:rPr>
        <w:t>我单位不在机关运行经费统计范围之内。</w:t>
      </w:r>
    </w:p>
    <w:p w:rsidR="003B677F" w:rsidRDefault="001A4D9B">
      <w:pPr>
        <w:ind w:left="540"/>
        <w:rPr>
          <w:rFonts w:ascii="黑体" w:eastAsia="黑体"/>
          <w:sz w:val="28"/>
          <w:szCs w:val="28"/>
        </w:rPr>
      </w:pPr>
      <w:r>
        <w:rPr>
          <w:rFonts w:ascii="黑体" w:eastAsia="黑体" w:hint="eastAsia"/>
          <w:sz w:val="28"/>
          <w:szCs w:val="28"/>
        </w:rPr>
        <w:lastRenderedPageBreak/>
        <w:t>三、政府采购支出情况</w:t>
      </w:r>
    </w:p>
    <w:p w:rsidR="008A5835" w:rsidRDefault="008A5835" w:rsidP="008A5835">
      <w:pPr>
        <w:ind w:firstLineChars="192" w:firstLine="538"/>
        <w:rPr>
          <w:rFonts w:ascii="仿宋_GB2312" w:eastAsia="仿宋_GB2312"/>
          <w:sz w:val="28"/>
          <w:szCs w:val="28"/>
        </w:rPr>
      </w:pPr>
      <w:r>
        <w:rPr>
          <w:rFonts w:ascii="仿宋_GB2312" w:eastAsia="仿宋_GB2312" w:hint="eastAsia"/>
          <w:sz w:val="28"/>
          <w:szCs w:val="28"/>
        </w:rPr>
        <w:t>2023年度政府采购支出总额</w:t>
      </w:r>
      <w:r>
        <w:rPr>
          <w:rFonts w:ascii="仿宋_GB2312" w:eastAsia="仿宋_GB2312"/>
          <w:sz w:val="28"/>
          <w:szCs w:val="28"/>
        </w:rPr>
        <w:t>890.97</w:t>
      </w:r>
      <w:r>
        <w:rPr>
          <w:rFonts w:ascii="仿宋_GB2312" w:eastAsia="仿宋_GB2312" w:hint="eastAsia"/>
          <w:sz w:val="28"/>
          <w:szCs w:val="28"/>
        </w:rPr>
        <w:t>万元，其中：政府采购货物支出</w:t>
      </w:r>
      <w:r>
        <w:rPr>
          <w:rFonts w:ascii="仿宋_GB2312" w:eastAsia="仿宋_GB2312"/>
          <w:sz w:val="28"/>
          <w:szCs w:val="28"/>
        </w:rPr>
        <w:t>14.4</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876.57</w:t>
      </w:r>
      <w:r>
        <w:rPr>
          <w:rFonts w:ascii="仿宋_GB2312" w:eastAsia="仿宋_GB2312" w:hint="eastAsia"/>
          <w:sz w:val="28"/>
          <w:szCs w:val="28"/>
        </w:rPr>
        <w:t>万元。授予中小企业合同金额</w:t>
      </w:r>
      <w:r>
        <w:rPr>
          <w:rFonts w:ascii="仿宋_GB2312" w:eastAsia="仿宋_GB2312"/>
          <w:sz w:val="28"/>
          <w:szCs w:val="28"/>
        </w:rPr>
        <w:t>880.59</w:t>
      </w:r>
      <w:r>
        <w:rPr>
          <w:rFonts w:ascii="仿宋_GB2312" w:eastAsia="仿宋_GB2312" w:hint="eastAsia"/>
          <w:sz w:val="28"/>
          <w:szCs w:val="28"/>
        </w:rPr>
        <w:t>万元，占政府采购支出总额的</w:t>
      </w:r>
      <w:r>
        <w:rPr>
          <w:rFonts w:ascii="仿宋_GB2312" w:eastAsia="仿宋_GB2312"/>
          <w:sz w:val="28"/>
          <w:szCs w:val="28"/>
        </w:rPr>
        <w:t>98.83</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542.11</w:t>
      </w:r>
      <w:r>
        <w:rPr>
          <w:rFonts w:ascii="仿宋_GB2312" w:eastAsia="仿宋_GB2312" w:hint="eastAsia"/>
          <w:sz w:val="28"/>
          <w:szCs w:val="28"/>
        </w:rPr>
        <w:t>万元，占政府采购支出总额的</w:t>
      </w:r>
      <w:r>
        <w:rPr>
          <w:rFonts w:ascii="仿宋_GB2312" w:eastAsia="仿宋_GB2312"/>
          <w:sz w:val="28"/>
          <w:szCs w:val="28"/>
        </w:rPr>
        <w:t>60.84</w:t>
      </w:r>
      <w:r>
        <w:rPr>
          <w:rFonts w:ascii="仿宋_GB2312" w:eastAsia="仿宋_GB2312" w:hint="eastAsia"/>
          <w:sz w:val="28"/>
          <w:szCs w:val="28"/>
        </w:rPr>
        <w:t>%。</w:t>
      </w:r>
    </w:p>
    <w:p w:rsidR="003B677F" w:rsidRDefault="001A4D9B">
      <w:pPr>
        <w:ind w:firstLineChars="200" w:firstLine="560"/>
        <w:rPr>
          <w:rFonts w:ascii="黑体" w:eastAsia="黑体"/>
          <w:sz w:val="28"/>
          <w:szCs w:val="28"/>
          <w:highlight w:val="yellow"/>
        </w:rPr>
      </w:pPr>
      <w:r>
        <w:rPr>
          <w:rFonts w:ascii="黑体" w:eastAsia="黑体" w:hint="eastAsia"/>
          <w:sz w:val="28"/>
          <w:szCs w:val="28"/>
        </w:rPr>
        <w:t>四、国有资产占用情况</w:t>
      </w:r>
    </w:p>
    <w:p w:rsidR="003B677F" w:rsidRPr="008A5835" w:rsidRDefault="008A5835" w:rsidP="008A5835">
      <w:pPr>
        <w:ind w:firstLineChars="200" w:firstLine="560"/>
        <w:rPr>
          <w:rFonts w:ascii="仿宋_GB2312" w:eastAsia="仿宋_GB2312"/>
          <w:sz w:val="32"/>
          <w:szCs w:val="32"/>
        </w:rPr>
      </w:pPr>
      <w:r>
        <w:rPr>
          <w:rFonts w:ascii="仿宋_GB2312" w:eastAsia="仿宋_GB2312" w:hint="eastAsia"/>
          <w:sz w:val="28"/>
          <w:szCs w:val="28"/>
        </w:rPr>
        <w:t>2023年度新购置车辆0台，共计0万元；新购置单位价值100万元（含）以上的设备0台（套），共计0万元。截至12月31日，孔庙和国子监博物馆共有车辆2台，共计40.62万元；单位价值100万元（含）以上的设备0台（套），共计0万元。</w:t>
      </w:r>
    </w:p>
    <w:p w:rsidR="003B677F" w:rsidRDefault="001A4D9B" w:rsidP="009F351C">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3B677F" w:rsidRDefault="001A4D9B" w:rsidP="009F351C">
      <w:pPr>
        <w:ind w:firstLineChars="192" w:firstLine="538"/>
        <w:rPr>
          <w:rFonts w:ascii="仿宋_GB2312" w:eastAsia="仿宋_GB2312"/>
          <w:sz w:val="28"/>
          <w:szCs w:val="28"/>
        </w:rPr>
      </w:pPr>
      <w:r>
        <w:rPr>
          <w:rFonts w:ascii="仿宋_GB2312" w:eastAsia="仿宋_GB2312" w:hint="eastAsia"/>
          <w:sz w:val="28"/>
          <w:szCs w:val="28"/>
        </w:rPr>
        <w:t>2023年度</w:t>
      </w:r>
      <w:r>
        <w:rPr>
          <w:rFonts w:ascii="仿宋_GB2312" w:eastAsia="仿宋_GB2312"/>
          <w:sz w:val="28"/>
          <w:szCs w:val="28"/>
        </w:rPr>
        <w:t>政府购买服务决算0</w:t>
      </w:r>
      <w:r>
        <w:rPr>
          <w:rFonts w:ascii="仿宋_GB2312" w:eastAsia="仿宋_GB2312" w:hint="eastAsia"/>
          <w:sz w:val="28"/>
          <w:szCs w:val="28"/>
        </w:rPr>
        <w:t>万元。</w:t>
      </w:r>
    </w:p>
    <w:p w:rsidR="003B677F" w:rsidRDefault="001A4D9B">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3B677F" w:rsidRDefault="001A4D9B">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3B677F" w:rsidRDefault="001A4D9B">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3B677F" w:rsidRDefault="001A4D9B">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w:t>
      </w:r>
      <w:r>
        <w:rPr>
          <w:rFonts w:ascii="仿宋_GB2312" w:eastAsia="仿宋_GB2312" w:hAnsi="宋体" w:hint="eastAsia"/>
          <w:sz w:val="28"/>
          <w:szCs w:val="28"/>
        </w:rPr>
        <w:lastRenderedPageBreak/>
        <w:t>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3B677F" w:rsidRDefault="001A4D9B">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w:t>
      </w:r>
      <w:bookmarkStart w:id="0" w:name="_GoBack"/>
      <w:bookmarkEnd w:id="0"/>
      <w:r>
        <w:rPr>
          <w:rFonts w:ascii="仿宋_GB2312" w:eastAsia="仿宋_GB2312" w:hAnsi="宋体" w:hint="eastAsia"/>
          <w:sz w:val="28"/>
          <w:szCs w:val="28"/>
        </w:rPr>
        <w:t>车运行维护费以及其他费用。</w:t>
      </w:r>
    </w:p>
    <w:p w:rsidR="003B677F" w:rsidRDefault="001A4D9B">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4A48FF" w:rsidRPr="004A48FF" w:rsidRDefault="001A4D9B" w:rsidP="004A48FF">
      <w:pPr>
        <w:ind w:firstLineChars="150" w:firstLine="420"/>
        <w:rPr>
          <w:rFonts w:ascii="仿宋_GB2312" w:eastAsia="仿宋_GB2312" w:hint="eastAsia"/>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4A48FF" w:rsidRPr="004A48FF" w:rsidRDefault="004A48FF" w:rsidP="004A48FF">
      <w:pPr>
        <w:ind w:firstLineChars="150" w:firstLine="414"/>
        <w:rPr>
          <w:rFonts w:ascii="仿宋_GB2312" w:eastAsia="仿宋_GB2312"/>
          <w:bCs/>
          <w:color w:val="000000"/>
          <w:spacing w:val="-2"/>
          <w:sz w:val="28"/>
          <w:szCs w:val="28"/>
        </w:rPr>
      </w:pPr>
      <w:r>
        <w:rPr>
          <w:rFonts w:ascii="仿宋_GB2312" w:eastAsia="仿宋_GB2312" w:hint="eastAsia"/>
          <w:bCs/>
          <w:color w:val="000000"/>
          <w:spacing w:val="-2"/>
          <w:sz w:val="28"/>
          <w:szCs w:val="28"/>
        </w:rPr>
        <w:t>7.各单位需根据自身业务职能，补充当年使用的所有支出功能分类项级科目名词解释：</w:t>
      </w:r>
    </w:p>
    <w:p w:rsidR="00640A89" w:rsidRDefault="00640A89" w:rsidP="00640A89">
      <w:pPr>
        <w:ind w:firstLineChars="150" w:firstLine="420"/>
        <w:rPr>
          <w:rFonts w:ascii="CESI仿宋-GB2312" w:eastAsia="CESI仿宋-GB2312" w:hAnsi="CESI仿宋-GB2312" w:cs="CESI仿宋-GB2312"/>
          <w:bCs/>
          <w:sz w:val="28"/>
          <w:szCs w:val="28"/>
        </w:rPr>
      </w:pPr>
      <w:r>
        <w:rPr>
          <w:rFonts w:ascii="CESI仿宋-GB2312" w:eastAsia="CESI仿宋-GB2312" w:hAnsi="CESI仿宋-GB2312" w:cs="CESI仿宋-GB2312" w:hint="eastAsia"/>
          <w:bCs/>
          <w:sz w:val="28"/>
          <w:szCs w:val="28"/>
        </w:rPr>
        <w:t>（1）教育支出（类）进修及培训（款）培训支出（项）：反映本单位安排的用于培训的支出。</w:t>
      </w:r>
    </w:p>
    <w:p w:rsidR="00640A89" w:rsidRDefault="00640A89" w:rsidP="00640A89">
      <w:pPr>
        <w:pStyle w:val="a7"/>
        <w:rPr>
          <w:rFonts w:ascii="CESI仿宋-GB2312" w:eastAsia="CESI仿宋-GB2312" w:hAnsi="CESI仿宋-GB2312" w:cs="CESI仿宋-GB2312"/>
          <w:bCs/>
          <w:sz w:val="28"/>
          <w:szCs w:val="28"/>
        </w:rPr>
      </w:pPr>
      <w:r>
        <w:rPr>
          <w:rFonts w:ascii="CESI仿宋-GB2312" w:eastAsia="CESI仿宋-GB2312" w:hAnsi="CESI仿宋-GB2312" w:cs="CESI仿宋-GB2312" w:hint="eastAsia"/>
          <w:bCs/>
          <w:sz w:val="28"/>
          <w:szCs w:val="28"/>
        </w:rPr>
        <w:t xml:space="preserve">   （2）文化旅游体育与传媒支出（类）文物（款）博物馆（项）：反映文物系统及其</w:t>
      </w:r>
      <w:proofErr w:type="gramStart"/>
      <w:r>
        <w:rPr>
          <w:rFonts w:ascii="CESI仿宋-GB2312" w:eastAsia="CESI仿宋-GB2312" w:hAnsi="CESI仿宋-GB2312" w:cs="CESI仿宋-GB2312" w:hint="eastAsia"/>
          <w:bCs/>
          <w:sz w:val="28"/>
          <w:szCs w:val="28"/>
        </w:rPr>
        <w:t>它部门</w:t>
      </w:r>
      <w:proofErr w:type="gramEnd"/>
      <w:r>
        <w:rPr>
          <w:rFonts w:ascii="CESI仿宋-GB2312" w:eastAsia="CESI仿宋-GB2312" w:hAnsi="CESI仿宋-GB2312" w:cs="CESI仿宋-GB2312" w:hint="eastAsia"/>
          <w:bCs/>
          <w:sz w:val="28"/>
          <w:szCs w:val="28"/>
        </w:rPr>
        <w:t>所属博物馆、纪念馆方面的支出。</w:t>
      </w:r>
    </w:p>
    <w:p w:rsidR="00640A89" w:rsidRDefault="00640A89" w:rsidP="00640A89">
      <w:pPr>
        <w:pStyle w:val="a7"/>
        <w:rPr>
          <w:rFonts w:ascii="CESI仿宋-GB2312" w:eastAsia="CESI仿宋-GB2312" w:hAnsi="CESI仿宋-GB2312" w:cs="CESI仿宋-GB2312"/>
          <w:bCs/>
          <w:sz w:val="28"/>
          <w:szCs w:val="28"/>
        </w:rPr>
      </w:pPr>
      <w:r>
        <w:rPr>
          <w:rFonts w:ascii="CESI仿宋-GB2312" w:eastAsia="CESI仿宋-GB2312" w:hAnsi="CESI仿宋-GB2312" w:cs="CESI仿宋-GB2312" w:hint="eastAsia"/>
          <w:bCs/>
          <w:sz w:val="28"/>
          <w:szCs w:val="28"/>
        </w:rPr>
        <w:t xml:space="preserve">   （3）文化旅游体育与传媒支出（类）文物（款）历史名城与古迹（项）：反映历史名城、世界遗产规划与古迹保护等方面的支出。</w:t>
      </w:r>
    </w:p>
    <w:p w:rsidR="00640A89" w:rsidRDefault="00640A89" w:rsidP="00640A89">
      <w:pPr>
        <w:pStyle w:val="a7"/>
        <w:ind w:firstLineChars="150" w:firstLine="420"/>
        <w:rPr>
          <w:rFonts w:ascii="CESI仿宋-GB2312" w:eastAsia="CESI仿宋-GB2312" w:hAnsi="CESI仿宋-GB2312" w:cs="CESI仿宋-GB2312"/>
          <w:bCs/>
          <w:sz w:val="28"/>
          <w:szCs w:val="28"/>
        </w:rPr>
      </w:pPr>
      <w:r>
        <w:rPr>
          <w:rFonts w:ascii="CESI仿宋-GB2312" w:eastAsia="CESI仿宋-GB2312" w:hAnsi="CESI仿宋-GB2312" w:cs="CESI仿宋-GB2312" w:hint="eastAsia"/>
          <w:bCs/>
          <w:sz w:val="28"/>
          <w:szCs w:val="28"/>
        </w:rPr>
        <w:t>（4）文化旅游体育与传媒支出（类）文物（款）其他文物支出（项）：反映除上述项目以外其他用于文物方面的支</w:t>
      </w:r>
      <w:r>
        <w:rPr>
          <w:rFonts w:ascii="CESI仿宋-GB2312" w:eastAsia="CESI仿宋-GB2312" w:hAnsi="CESI仿宋-GB2312" w:cs="CESI仿宋-GB2312" w:hint="eastAsia"/>
          <w:bCs/>
          <w:sz w:val="28"/>
          <w:szCs w:val="28"/>
        </w:rPr>
        <w:lastRenderedPageBreak/>
        <w:t>出。</w:t>
      </w:r>
    </w:p>
    <w:p w:rsidR="00640A89" w:rsidRDefault="00640A89" w:rsidP="00640A89">
      <w:pPr>
        <w:pStyle w:val="a7"/>
        <w:ind w:firstLineChars="150" w:firstLine="420"/>
        <w:rPr>
          <w:rFonts w:ascii="CESI仿宋-GB2312" w:eastAsia="CESI仿宋-GB2312" w:hAnsi="CESI仿宋-GB2312" w:cs="CESI仿宋-GB2312"/>
          <w:bCs/>
          <w:sz w:val="28"/>
          <w:szCs w:val="28"/>
        </w:rPr>
      </w:pPr>
      <w:r>
        <w:rPr>
          <w:rFonts w:ascii="CESI仿宋-GB2312" w:eastAsia="CESI仿宋-GB2312" w:hAnsi="CESI仿宋-GB2312" w:cs="CESI仿宋-GB2312" w:hint="eastAsia"/>
          <w:bCs/>
          <w:sz w:val="28"/>
          <w:szCs w:val="28"/>
        </w:rPr>
        <w:t>（5）社会保障和就业支出（类）行政事业单位养老支出（款）行政单位离退休（项）：反映行政单位（包括实行公务员管理的事业单位）开支的离退休经费。</w:t>
      </w:r>
    </w:p>
    <w:p w:rsidR="00640A89" w:rsidRDefault="00640A89" w:rsidP="00640A89">
      <w:pPr>
        <w:ind w:firstLineChars="150" w:firstLine="420"/>
        <w:rPr>
          <w:rFonts w:ascii="CESI仿宋-GB2312" w:eastAsia="CESI仿宋-GB2312" w:hAnsi="CESI仿宋-GB2312" w:cs="CESI仿宋-GB2312"/>
          <w:bCs/>
          <w:sz w:val="28"/>
          <w:szCs w:val="28"/>
        </w:rPr>
      </w:pPr>
      <w:r>
        <w:rPr>
          <w:rFonts w:ascii="CESI仿宋-GB2312" w:eastAsia="CESI仿宋-GB2312" w:hAnsi="CESI仿宋-GB2312" w:cs="CESI仿宋-GB2312" w:hint="eastAsia"/>
          <w:bCs/>
          <w:sz w:val="28"/>
          <w:szCs w:val="28"/>
        </w:rPr>
        <w:t>（6）社会保障和就业支出（类）行政事业单位养老支出（款）事业单位离退休（项）：反映事业单位开支的离退休经费。</w:t>
      </w:r>
    </w:p>
    <w:p w:rsidR="003B677F" w:rsidRPr="00640A89" w:rsidRDefault="003B677F">
      <w:pPr>
        <w:rPr>
          <w:rFonts w:ascii="仿宋_GB2312" w:eastAsia="仿宋_GB2312"/>
          <w:sz w:val="28"/>
          <w:szCs w:val="28"/>
        </w:rPr>
      </w:pPr>
    </w:p>
    <w:p w:rsidR="003B677F" w:rsidRDefault="003B677F" w:rsidP="009F351C">
      <w:pPr>
        <w:ind w:firstLineChars="200" w:firstLine="634"/>
        <w:rPr>
          <w:rFonts w:ascii="仿宋_GB2312" w:eastAsia="仿宋_GB2312"/>
          <w:b/>
          <w:color w:val="000000"/>
          <w:spacing w:val="-2"/>
          <w:sz w:val="32"/>
          <w:szCs w:val="32"/>
        </w:rPr>
      </w:pPr>
    </w:p>
    <w:p w:rsidR="003B677F" w:rsidRDefault="003B677F">
      <w:pPr>
        <w:ind w:firstLineChars="200" w:firstLine="640"/>
        <w:jc w:val="center"/>
        <w:rPr>
          <w:rFonts w:ascii="黑体" w:eastAsia="黑体"/>
          <w:sz w:val="32"/>
          <w:szCs w:val="32"/>
        </w:rPr>
      </w:pPr>
    </w:p>
    <w:p w:rsidR="00724C53" w:rsidRDefault="00724C53" w:rsidP="00724C53">
      <w:pPr>
        <w:pStyle w:val="a0"/>
        <w:ind w:firstLine="420"/>
      </w:pPr>
    </w:p>
    <w:p w:rsidR="00724C53" w:rsidRDefault="00724C53" w:rsidP="00724C53">
      <w:pPr>
        <w:pStyle w:val="a0"/>
        <w:ind w:firstLine="420"/>
      </w:pPr>
    </w:p>
    <w:p w:rsidR="00724C53" w:rsidRDefault="00724C53" w:rsidP="00724C53">
      <w:pPr>
        <w:pStyle w:val="a0"/>
        <w:ind w:firstLine="420"/>
      </w:pPr>
    </w:p>
    <w:p w:rsidR="00724C53" w:rsidRDefault="00724C53" w:rsidP="00724C53">
      <w:pPr>
        <w:pStyle w:val="a0"/>
        <w:ind w:firstLine="420"/>
      </w:pPr>
    </w:p>
    <w:p w:rsidR="00724C53" w:rsidRDefault="00724C53" w:rsidP="00724C53">
      <w:pPr>
        <w:pStyle w:val="a0"/>
        <w:ind w:firstLine="420"/>
      </w:pPr>
    </w:p>
    <w:p w:rsidR="00724C53" w:rsidRDefault="00724C53" w:rsidP="00724C53">
      <w:pPr>
        <w:pStyle w:val="a0"/>
        <w:ind w:firstLine="420"/>
      </w:pPr>
    </w:p>
    <w:p w:rsidR="00724C53" w:rsidRDefault="00724C53" w:rsidP="00724C53">
      <w:pPr>
        <w:pStyle w:val="a0"/>
        <w:ind w:firstLine="420"/>
      </w:pPr>
    </w:p>
    <w:p w:rsidR="00724C53" w:rsidRDefault="00724C53" w:rsidP="00724C53">
      <w:pPr>
        <w:pStyle w:val="a0"/>
        <w:ind w:firstLine="420"/>
      </w:pPr>
    </w:p>
    <w:p w:rsidR="00724C53" w:rsidRDefault="00724C53" w:rsidP="00724C53">
      <w:pPr>
        <w:pStyle w:val="a0"/>
        <w:ind w:firstLine="420"/>
      </w:pPr>
    </w:p>
    <w:p w:rsidR="00724C53" w:rsidRDefault="00724C53" w:rsidP="00724C53">
      <w:pPr>
        <w:pStyle w:val="a0"/>
        <w:ind w:firstLine="420"/>
      </w:pPr>
    </w:p>
    <w:p w:rsidR="00724C53" w:rsidRDefault="00724C53" w:rsidP="00724C53">
      <w:pPr>
        <w:pStyle w:val="a0"/>
        <w:ind w:firstLine="420"/>
      </w:pPr>
    </w:p>
    <w:p w:rsidR="00724C53" w:rsidRDefault="00724C53" w:rsidP="00724C53">
      <w:pPr>
        <w:pStyle w:val="a0"/>
        <w:ind w:firstLine="420"/>
      </w:pPr>
    </w:p>
    <w:p w:rsidR="00724C53" w:rsidRDefault="00724C53" w:rsidP="00724C53">
      <w:pPr>
        <w:pStyle w:val="a0"/>
        <w:ind w:firstLine="420"/>
      </w:pPr>
    </w:p>
    <w:p w:rsidR="00724C53" w:rsidRPr="00724C53" w:rsidRDefault="00724C53" w:rsidP="00724C53">
      <w:pPr>
        <w:pStyle w:val="a0"/>
        <w:ind w:firstLine="420"/>
      </w:pPr>
    </w:p>
    <w:p w:rsidR="003B677F" w:rsidRDefault="003B677F">
      <w:pPr>
        <w:ind w:firstLineChars="200" w:firstLine="640"/>
        <w:jc w:val="center"/>
        <w:rPr>
          <w:rFonts w:ascii="黑体" w:eastAsia="黑体"/>
          <w:sz w:val="32"/>
          <w:szCs w:val="32"/>
        </w:rPr>
      </w:pPr>
    </w:p>
    <w:p w:rsidR="003B677F" w:rsidRDefault="001A4D9B">
      <w:pPr>
        <w:ind w:firstLineChars="200" w:firstLine="640"/>
        <w:jc w:val="center"/>
        <w:rPr>
          <w:rFonts w:ascii="黑体" w:eastAsia="黑体"/>
          <w:sz w:val="32"/>
          <w:szCs w:val="32"/>
        </w:rPr>
      </w:pPr>
      <w:r>
        <w:rPr>
          <w:rFonts w:ascii="黑体" w:eastAsia="黑体" w:hint="eastAsia"/>
          <w:sz w:val="32"/>
          <w:szCs w:val="32"/>
        </w:rPr>
        <w:lastRenderedPageBreak/>
        <w:t>第四部分  2023年度部门绩效评价情况</w:t>
      </w:r>
    </w:p>
    <w:p w:rsidR="003B677F" w:rsidRDefault="003B677F">
      <w:pPr>
        <w:ind w:firstLineChars="200" w:firstLine="560"/>
        <w:rPr>
          <w:rFonts w:ascii="黑体" w:eastAsia="黑体"/>
          <w:sz w:val="28"/>
          <w:szCs w:val="28"/>
          <w:highlight w:val="yellow"/>
        </w:rPr>
      </w:pPr>
    </w:p>
    <w:p w:rsidR="003B677F" w:rsidRPr="008A5835" w:rsidRDefault="008A5835" w:rsidP="008A5835">
      <w:pPr>
        <w:pStyle w:val="ac"/>
        <w:numPr>
          <w:ilvl w:val="0"/>
          <w:numId w:val="1"/>
        </w:numPr>
        <w:ind w:firstLineChars="0"/>
        <w:rPr>
          <w:rFonts w:ascii="黑体" w:eastAsia="黑体"/>
          <w:sz w:val="28"/>
          <w:szCs w:val="28"/>
        </w:rPr>
      </w:pPr>
      <w:r w:rsidRPr="008A5835">
        <w:rPr>
          <w:rFonts w:ascii="黑体" w:eastAsia="黑体" w:hint="eastAsia"/>
          <w:sz w:val="28"/>
          <w:szCs w:val="28"/>
        </w:rPr>
        <w:t>部门整体绩效评价报告</w:t>
      </w:r>
    </w:p>
    <w:p w:rsidR="008A5835" w:rsidRPr="008A5835" w:rsidRDefault="008A5835" w:rsidP="008A5835">
      <w:pPr>
        <w:pStyle w:val="a0"/>
        <w:ind w:firstLineChars="550" w:firstLine="1155"/>
      </w:pPr>
      <w:r>
        <w:rPr>
          <w:rFonts w:hint="eastAsia"/>
        </w:rPr>
        <w:t>无</w:t>
      </w:r>
    </w:p>
    <w:p w:rsidR="008A5835" w:rsidRPr="008A5835" w:rsidRDefault="001A4D9B" w:rsidP="008A5835">
      <w:pPr>
        <w:pStyle w:val="ac"/>
        <w:numPr>
          <w:ilvl w:val="0"/>
          <w:numId w:val="1"/>
        </w:numPr>
        <w:ind w:firstLineChars="0"/>
        <w:rPr>
          <w:rFonts w:ascii="黑体" w:eastAsia="黑体"/>
          <w:sz w:val="28"/>
          <w:szCs w:val="28"/>
        </w:rPr>
      </w:pPr>
      <w:r w:rsidRPr="008A5835">
        <w:rPr>
          <w:rFonts w:ascii="黑体" w:eastAsia="黑体" w:hint="eastAsia"/>
          <w:sz w:val="28"/>
          <w:szCs w:val="28"/>
        </w:rPr>
        <w:t>项目支出绩效评价报告</w:t>
      </w:r>
    </w:p>
    <w:p w:rsidR="008A5835" w:rsidRPr="008A5835" w:rsidRDefault="008A5835" w:rsidP="008A5835">
      <w:pPr>
        <w:pStyle w:val="a0"/>
        <w:ind w:left="1160" w:firstLineChars="0" w:firstLine="0"/>
      </w:pPr>
      <w:r>
        <w:rPr>
          <w:rFonts w:hint="eastAsia"/>
        </w:rPr>
        <w:t>无</w:t>
      </w:r>
    </w:p>
    <w:p w:rsidR="003B677F" w:rsidRDefault="001A4D9B">
      <w:pPr>
        <w:ind w:firstLineChars="200" w:firstLine="560"/>
        <w:rPr>
          <w:rFonts w:ascii="黑体" w:eastAsia="黑体"/>
          <w:sz w:val="28"/>
          <w:szCs w:val="28"/>
        </w:rPr>
      </w:pPr>
      <w:r>
        <w:rPr>
          <w:rFonts w:ascii="黑体" w:eastAsia="黑体" w:hint="eastAsia"/>
          <w:sz w:val="28"/>
          <w:szCs w:val="28"/>
        </w:rPr>
        <w:t>三</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r>
        <w:rPr>
          <w:rFonts w:ascii="黑体" w:eastAsia="黑体" w:hint="eastAsia"/>
          <w:sz w:val="28"/>
          <w:szCs w:val="28"/>
        </w:rPr>
        <w:t>（详见附件）</w:t>
      </w:r>
    </w:p>
    <w:p w:rsidR="003B677F" w:rsidRDefault="003B677F">
      <w:pPr>
        <w:pStyle w:val="2"/>
        <w:ind w:firstLine="560"/>
      </w:pPr>
    </w:p>
    <w:p w:rsidR="003B677F" w:rsidRDefault="003B677F"/>
    <w:p w:rsidR="003B677F" w:rsidRDefault="003B677F">
      <w:pPr>
        <w:pStyle w:val="2"/>
      </w:pPr>
    </w:p>
    <w:p w:rsidR="008A5835" w:rsidRDefault="008A5835" w:rsidP="008A5835"/>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724C53" w:rsidRPr="008A5835" w:rsidRDefault="00724C53" w:rsidP="008A5835">
      <w:pPr>
        <w:pStyle w:val="a0"/>
        <w:ind w:firstLine="420"/>
      </w:pPr>
    </w:p>
    <w:tbl>
      <w:tblPr>
        <w:tblW w:w="13920" w:type="dxa"/>
        <w:tblInd w:w="93" w:type="dxa"/>
        <w:tblLook w:val="04A0" w:firstRow="1" w:lastRow="0" w:firstColumn="1" w:lastColumn="0" w:noHBand="0" w:noVBand="1"/>
      </w:tblPr>
      <w:tblGrid>
        <w:gridCol w:w="940"/>
        <w:gridCol w:w="1300"/>
        <w:gridCol w:w="1300"/>
        <w:gridCol w:w="2140"/>
        <w:gridCol w:w="1580"/>
        <w:gridCol w:w="1360"/>
        <w:gridCol w:w="1360"/>
        <w:gridCol w:w="1280"/>
        <w:gridCol w:w="1180"/>
        <w:gridCol w:w="1480"/>
      </w:tblGrid>
      <w:tr w:rsidR="008A5835" w:rsidRPr="0044563C" w:rsidTr="00640A89">
        <w:trPr>
          <w:trHeight w:val="405"/>
        </w:trPr>
        <w:tc>
          <w:tcPr>
            <w:tcW w:w="13920" w:type="dxa"/>
            <w:gridSpan w:val="10"/>
            <w:tcBorders>
              <w:top w:val="nil"/>
              <w:left w:val="nil"/>
              <w:bottom w:val="nil"/>
              <w:right w:val="nil"/>
            </w:tcBorders>
            <w:shd w:val="clear" w:color="auto" w:fill="auto"/>
            <w:vAlign w:val="center"/>
            <w:hideMark/>
          </w:tcPr>
          <w:p w:rsidR="008A5835" w:rsidRPr="0044563C" w:rsidRDefault="008A5835" w:rsidP="00640A89">
            <w:pPr>
              <w:widowControl/>
              <w:jc w:val="center"/>
              <w:rPr>
                <w:rFonts w:ascii="宋体" w:hAnsi="宋体" w:cs="宋体"/>
                <w:kern w:val="0"/>
                <w:sz w:val="28"/>
                <w:szCs w:val="28"/>
              </w:rPr>
            </w:pPr>
            <w:r w:rsidRPr="0044563C">
              <w:rPr>
                <w:rFonts w:ascii="宋体" w:hAnsi="宋体" w:cs="宋体" w:hint="eastAsia"/>
                <w:kern w:val="0"/>
                <w:sz w:val="28"/>
                <w:szCs w:val="28"/>
              </w:rPr>
              <w:lastRenderedPageBreak/>
              <w:t>项目支出绩效自评表</w:t>
            </w:r>
          </w:p>
        </w:tc>
      </w:tr>
      <w:tr w:rsidR="008A5835" w:rsidRPr="0044563C" w:rsidTr="00640A89">
        <w:trPr>
          <w:trHeight w:val="315"/>
        </w:trPr>
        <w:tc>
          <w:tcPr>
            <w:tcW w:w="13920" w:type="dxa"/>
            <w:gridSpan w:val="10"/>
            <w:tcBorders>
              <w:top w:val="nil"/>
              <w:left w:val="nil"/>
              <w:bottom w:val="nil"/>
              <w:right w:val="nil"/>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（2023年度）</w:t>
            </w:r>
          </w:p>
        </w:tc>
      </w:tr>
      <w:tr w:rsidR="008A5835" w:rsidRPr="0044563C" w:rsidTr="00640A89">
        <w:trPr>
          <w:trHeight w:val="402"/>
        </w:trPr>
        <w:tc>
          <w:tcPr>
            <w:tcW w:w="3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项目名称</w:t>
            </w:r>
          </w:p>
        </w:tc>
        <w:tc>
          <w:tcPr>
            <w:tcW w:w="10380" w:type="dxa"/>
            <w:gridSpan w:val="7"/>
            <w:tcBorders>
              <w:top w:val="single" w:sz="4" w:space="0" w:color="auto"/>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11000023Y000002219039-孔庙和国子监博物馆2023年业务保障用车购置项目</w:t>
            </w:r>
          </w:p>
        </w:tc>
      </w:tr>
      <w:tr w:rsidR="008A5835" w:rsidRPr="0044563C" w:rsidTr="00640A89">
        <w:trPr>
          <w:trHeight w:val="402"/>
        </w:trPr>
        <w:tc>
          <w:tcPr>
            <w:tcW w:w="3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主管部门及代码</w:t>
            </w:r>
          </w:p>
        </w:tc>
        <w:tc>
          <w:tcPr>
            <w:tcW w:w="508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048-北京市文物局</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实施单位</w:t>
            </w:r>
          </w:p>
        </w:tc>
        <w:tc>
          <w:tcPr>
            <w:tcW w:w="3940" w:type="dxa"/>
            <w:gridSpan w:val="3"/>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048025-孔庙和国子监博物馆</w:t>
            </w:r>
          </w:p>
        </w:tc>
      </w:tr>
      <w:tr w:rsidR="008A5835" w:rsidRPr="0044563C" w:rsidTr="00640A89">
        <w:trPr>
          <w:trHeight w:val="402"/>
        </w:trPr>
        <w:tc>
          <w:tcPr>
            <w:tcW w:w="354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项目负责人</w:t>
            </w:r>
          </w:p>
        </w:tc>
        <w:tc>
          <w:tcPr>
            <w:tcW w:w="508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杨齐国</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联系电话</w:t>
            </w:r>
          </w:p>
        </w:tc>
        <w:tc>
          <w:tcPr>
            <w:tcW w:w="394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13439189253</w:t>
            </w:r>
          </w:p>
        </w:tc>
      </w:tr>
      <w:tr w:rsidR="008A5835" w:rsidRPr="0044563C" w:rsidTr="00640A89">
        <w:trPr>
          <w:trHeight w:val="522"/>
        </w:trPr>
        <w:tc>
          <w:tcPr>
            <w:tcW w:w="35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项目资金（万元）</w:t>
            </w:r>
          </w:p>
        </w:tc>
        <w:tc>
          <w:tcPr>
            <w:tcW w:w="2140" w:type="dxa"/>
            <w:tcBorders>
              <w:top w:val="nil"/>
              <w:left w:val="nil"/>
              <w:bottom w:val="single" w:sz="4" w:space="0" w:color="auto"/>
              <w:right w:val="single" w:sz="4" w:space="0" w:color="auto"/>
              <w:tl2br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年初预算数</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全年预算数(B)</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全年执行数(C)</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分值（10分）</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执行率(C/B)</w:t>
            </w:r>
          </w:p>
        </w:tc>
        <w:tc>
          <w:tcPr>
            <w:tcW w:w="14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得分</w:t>
            </w:r>
          </w:p>
        </w:tc>
      </w:tr>
      <w:tr w:rsidR="008A5835" w:rsidRPr="0044563C" w:rsidTr="00640A89">
        <w:trPr>
          <w:trHeight w:val="402"/>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年度资金总额：</w:t>
            </w:r>
          </w:p>
        </w:tc>
        <w:tc>
          <w:tcPr>
            <w:tcW w:w="15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16.650000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16.650000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15.674336 </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94.14%</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9.41 </w:t>
            </w:r>
          </w:p>
        </w:tc>
      </w:tr>
      <w:tr w:rsidR="008A5835" w:rsidRPr="0044563C" w:rsidTr="00640A89">
        <w:trPr>
          <w:trHeight w:val="402"/>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其中:当年财政拨款</w:t>
            </w:r>
          </w:p>
        </w:tc>
        <w:tc>
          <w:tcPr>
            <w:tcW w:w="15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16.650000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16.650000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15.674336 </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94.14%</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9.41 </w:t>
            </w:r>
          </w:p>
        </w:tc>
      </w:tr>
      <w:tr w:rsidR="008A5835" w:rsidRPr="0044563C" w:rsidTr="00640A89">
        <w:trPr>
          <w:trHeight w:val="402"/>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上年结转资金</w:t>
            </w:r>
          </w:p>
        </w:tc>
        <w:tc>
          <w:tcPr>
            <w:tcW w:w="15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4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r>
      <w:tr w:rsidR="008A5835" w:rsidRPr="0044563C" w:rsidTr="00640A89">
        <w:trPr>
          <w:trHeight w:val="402"/>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其他资金</w:t>
            </w:r>
          </w:p>
        </w:tc>
        <w:tc>
          <w:tcPr>
            <w:tcW w:w="15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4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r>
      <w:tr w:rsidR="008A5835" w:rsidRPr="0044563C" w:rsidTr="00640A89">
        <w:trPr>
          <w:trHeight w:val="402"/>
        </w:trPr>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年度总体目标</w:t>
            </w:r>
          </w:p>
        </w:tc>
        <w:tc>
          <w:tcPr>
            <w:tcW w:w="7680" w:type="dxa"/>
            <w:gridSpan w:val="5"/>
            <w:tcBorders>
              <w:top w:val="single" w:sz="4" w:space="0" w:color="auto"/>
              <w:left w:val="nil"/>
              <w:bottom w:val="single" w:sz="4" w:space="0" w:color="auto"/>
              <w:right w:val="nil"/>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预期目标</w:t>
            </w:r>
          </w:p>
        </w:tc>
        <w:tc>
          <w:tcPr>
            <w:tcW w:w="5300" w:type="dxa"/>
            <w:gridSpan w:val="4"/>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实际完成情况</w:t>
            </w:r>
          </w:p>
        </w:tc>
      </w:tr>
      <w:tr w:rsidR="008A5835" w:rsidRPr="0044563C" w:rsidTr="00640A89">
        <w:trPr>
          <w:trHeight w:val="882"/>
        </w:trPr>
        <w:tc>
          <w:tcPr>
            <w:tcW w:w="94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7680" w:type="dxa"/>
            <w:gridSpan w:val="5"/>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更新购置车辆后，能够满足博物馆重要工作出行，为博物馆运转提供基础保障，提高工作效率。</w:t>
            </w:r>
          </w:p>
        </w:tc>
        <w:tc>
          <w:tcPr>
            <w:tcW w:w="5300" w:type="dxa"/>
            <w:gridSpan w:val="4"/>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通过更新购置车辆，满足了博物馆重要工作出行，为博物馆运转提供了基础保障，提高了工作效率。</w:t>
            </w:r>
          </w:p>
        </w:tc>
      </w:tr>
      <w:tr w:rsidR="008A5835" w:rsidRPr="0044563C" w:rsidTr="00640A89">
        <w:trPr>
          <w:trHeight w:val="679"/>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绩效指标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一级指标</w:t>
            </w:r>
          </w:p>
        </w:tc>
        <w:tc>
          <w:tcPr>
            <w:tcW w:w="130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二级指标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三级指标</w:t>
            </w:r>
          </w:p>
        </w:tc>
        <w:tc>
          <w:tcPr>
            <w:tcW w:w="2940" w:type="dxa"/>
            <w:gridSpan w:val="2"/>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年度指标值(A)</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实际完成值</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分值</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得分</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偏差原因分析及改进措施</w:t>
            </w:r>
          </w:p>
        </w:tc>
      </w:tr>
      <w:tr w:rsidR="008A5835" w:rsidRPr="0044563C" w:rsidTr="00640A89">
        <w:trPr>
          <w:trHeight w:val="42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产出指标</w:t>
            </w:r>
          </w:p>
        </w:tc>
        <w:tc>
          <w:tcPr>
            <w:tcW w:w="1300" w:type="dxa"/>
            <w:tcBorders>
              <w:top w:val="nil"/>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数量指标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采购数量</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≥1台</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1台</w:t>
            </w:r>
          </w:p>
        </w:tc>
        <w:tc>
          <w:tcPr>
            <w:tcW w:w="1280" w:type="dxa"/>
            <w:tcBorders>
              <w:top w:val="nil"/>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15.00 </w:t>
            </w:r>
          </w:p>
        </w:tc>
        <w:tc>
          <w:tcPr>
            <w:tcW w:w="1180" w:type="dxa"/>
            <w:tcBorders>
              <w:top w:val="nil"/>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15.00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5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质量指标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车辆验收合格率</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≥100%</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15.00 </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15.00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1579"/>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tcBorders>
              <w:top w:val="single" w:sz="4" w:space="0" w:color="000000"/>
              <w:left w:val="nil"/>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成本指标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经济成本指标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公务用车购置成本</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≤16.65万元</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15.674336万元</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因公务车购买价格有浮动，故节约资金0.9756664万元</w:t>
            </w:r>
          </w:p>
        </w:tc>
      </w:tr>
      <w:tr w:rsidR="008A5835" w:rsidRPr="0044563C" w:rsidTr="00640A89">
        <w:trPr>
          <w:trHeight w:val="1939"/>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tcBorders>
              <w:top w:val="nil"/>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效益指标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社会效益指标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满足办公需求</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优</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办公需求得到满足</w:t>
            </w:r>
          </w:p>
        </w:tc>
        <w:tc>
          <w:tcPr>
            <w:tcW w:w="1280" w:type="dxa"/>
            <w:tcBorders>
              <w:top w:val="nil"/>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30.00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25.50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偏差原因分析：相应支撑材料不够充分</w:t>
            </w:r>
            <w:r w:rsidRPr="0044563C">
              <w:rPr>
                <w:rFonts w:ascii="宋体" w:hAnsi="宋体" w:cs="宋体" w:hint="eastAsia"/>
                <w:kern w:val="0"/>
                <w:sz w:val="20"/>
                <w:szCs w:val="20"/>
              </w:rPr>
              <w:br/>
              <w:t>改进措施：今后将加强相关绩效支撑材料收集、整理及归档工作</w:t>
            </w:r>
          </w:p>
        </w:tc>
      </w:tr>
      <w:tr w:rsidR="008A5835" w:rsidRPr="0044563C" w:rsidTr="00640A89">
        <w:trPr>
          <w:trHeight w:val="679"/>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满意度指标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服务对象满意度指标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使用单位满意度</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≥85%</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582"/>
        </w:trPr>
        <w:tc>
          <w:tcPr>
            <w:tcW w:w="9980"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总分：</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94.91 </w:t>
            </w:r>
          </w:p>
        </w:tc>
        <w:tc>
          <w:tcPr>
            <w:tcW w:w="14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 xml:space="preserve">　</w:t>
            </w:r>
          </w:p>
        </w:tc>
      </w:tr>
    </w:tbl>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tbl>
      <w:tblPr>
        <w:tblW w:w="14780" w:type="dxa"/>
        <w:tblInd w:w="93" w:type="dxa"/>
        <w:tblLook w:val="04A0" w:firstRow="1" w:lastRow="0" w:firstColumn="1" w:lastColumn="0" w:noHBand="0" w:noVBand="1"/>
      </w:tblPr>
      <w:tblGrid>
        <w:gridCol w:w="940"/>
        <w:gridCol w:w="1300"/>
        <w:gridCol w:w="1300"/>
        <w:gridCol w:w="2140"/>
        <w:gridCol w:w="1220"/>
        <w:gridCol w:w="1360"/>
        <w:gridCol w:w="1380"/>
        <w:gridCol w:w="1280"/>
        <w:gridCol w:w="1180"/>
        <w:gridCol w:w="2680"/>
      </w:tblGrid>
      <w:tr w:rsidR="008A5835" w:rsidRPr="0044563C" w:rsidTr="00640A89">
        <w:trPr>
          <w:trHeight w:val="405"/>
        </w:trPr>
        <w:tc>
          <w:tcPr>
            <w:tcW w:w="14780" w:type="dxa"/>
            <w:gridSpan w:val="10"/>
            <w:tcBorders>
              <w:top w:val="nil"/>
              <w:left w:val="nil"/>
              <w:bottom w:val="nil"/>
              <w:right w:val="nil"/>
            </w:tcBorders>
            <w:shd w:val="clear" w:color="auto" w:fill="auto"/>
            <w:vAlign w:val="center"/>
            <w:hideMark/>
          </w:tcPr>
          <w:p w:rsidR="008A5835" w:rsidRPr="0044563C" w:rsidRDefault="008A5835" w:rsidP="00640A89">
            <w:pPr>
              <w:widowControl/>
              <w:jc w:val="center"/>
              <w:rPr>
                <w:rFonts w:ascii="宋体" w:hAnsi="宋体" w:cs="宋体"/>
                <w:kern w:val="0"/>
                <w:sz w:val="28"/>
                <w:szCs w:val="28"/>
              </w:rPr>
            </w:pPr>
            <w:r w:rsidRPr="0044563C">
              <w:rPr>
                <w:rFonts w:ascii="宋体" w:hAnsi="宋体" w:cs="宋体" w:hint="eastAsia"/>
                <w:kern w:val="0"/>
                <w:sz w:val="28"/>
                <w:szCs w:val="28"/>
              </w:rPr>
              <w:lastRenderedPageBreak/>
              <w:t>项目支出绩效自评表</w:t>
            </w:r>
          </w:p>
        </w:tc>
      </w:tr>
      <w:tr w:rsidR="008A5835" w:rsidRPr="0044563C" w:rsidTr="00640A89">
        <w:trPr>
          <w:trHeight w:val="315"/>
        </w:trPr>
        <w:tc>
          <w:tcPr>
            <w:tcW w:w="14780" w:type="dxa"/>
            <w:gridSpan w:val="10"/>
            <w:tcBorders>
              <w:top w:val="nil"/>
              <w:left w:val="nil"/>
              <w:bottom w:val="nil"/>
              <w:right w:val="nil"/>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（2023年度）</w:t>
            </w:r>
          </w:p>
        </w:tc>
      </w:tr>
      <w:tr w:rsidR="008A5835" w:rsidRPr="0044563C" w:rsidTr="00640A89">
        <w:trPr>
          <w:trHeight w:val="240"/>
        </w:trPr>
        <w:tc>
          <w:tcPr>
            <w:tcW w:w="3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项目名称</w:t>
            </w:r>
          </w:p>
        </w:tc>
        <w:tc>
          <w:tcPr>
            <w:tcW w:w="11240" w:type="dxa"/>
            <w:gridSpan w:val="7"/>
            <w:tcBorders>
              <w:top w:val="single" w:sz="4" w:space="0" w:color="auto"/>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11000022T000000437646-祭孔大典文化活动</w:t>
            </w:r>
          </w:p>
        </w:tc>
      </w:tr>
      <w:tr w:rsidR="008A5835" w:rsidRPr="0044563C" w:rsidTr="00640A89">
        <w:trPr>
          <w:trHeight w:val="240"/>
        </w:trPr>
        <w:tc>
          <w:tcPr>
            <w:tcW w:w="3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主管部门及代码</w:t>
            </w:r>
          </w:p>
        </w:tc>
        <w:tc>
          <w:tcPr>
            <w:tcW w:w="472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048-北京市文物局</w:t>
            </w:r>
          </w:p>
        </w:tc>
        <w:tc>
          <w:tcPr>
            <w:tcW w:w="13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实施单位</w:t>
            </w:r>
          </w:p>
        </w:tc>
        <w:tc>
          <w:tcPr>
            <w:tcW w:w="5140" w:type="dxa"/>
            <w:gridSpan w:val="3"/>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048025-孔庙和国子监博物馆</w:t>
            </w:r>
          </w:p>
        </w:tc>
      </w:tr>
      <w:tr w:rsidR="008A5835" w:rsidRPr="0044563C" w:rsidTr="00640A89">
        <w:trPr>
          <w:trHeight w:val="240"/>
        </w:trPr>
        <w:tc>
          <w:tcPr>
            <w:tcW w:w="354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项目负责人</w:t>
            </w:r>
          </w:p>
        </w:tc>
        <w:tc>
          <w:tcPr>
            <w:tcW w:w="472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proofErr w:type="gramStart"/>
            <w:r w:rsidRPr="0044563C">
              <w:rPr>
                <w:rFonts w:ascii="宋体" w:hAnsi="宋体" w:cs="宋体" w:hint="eastAsia"/>
                <w:kern w:val="0"/>
                <w:sz w:val="20"/>
                <w:szCs w:val="20"/>
              </w:rPr>
              <w:t>杨晶</w:t>
            </w:r>
            <w:proofErr w:type="gramEnd"/>
          </w:p>
        </w:tc>
        <w:tc>
          <w:tcPr>
            <w:tcW w:w="13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联系电话</w:t>
            </w:r>
          </w:p>
        </w:tc>
        <w:tc>
          <w:tcPr>
            <w:tcW w:w="514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18518488329</w:t>
            </w:r>
          </w:p>
        </w:tc>
      </w:tr>
      <w:tr w:rsidR="008A5835" w:rsidRPr="0044563C" w:rsidTr="00640A89">
        <w:trPr>
          <w:trHeight w:val="480"/>
        </w:trPr>
        <w:tc>
          <w:tcPr>
            <w:tcW w:w="35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项目资金（万元）</w:t>
            </w:r>
          </w:p>
        </w:tc>
        <w:tc>
          <w:tcPr>
            <w:tcW w:w="2140" w:type="dxa"/>
            <w:tcBorders>
              <w:top w:val="nil"/>
              <w:left w:val="nil"/>
              <w:bottom w:val="single" w:sz="4" w:space="0" w:color="auto"/>
              <w:right w:val="single" w:sz="4" w:space="0" w:color="auto"/>
              <w:tl2br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c>
          <w:tcPr>
            <w:tcW w:w="122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年初预算数</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全年预算数(B)</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全年执行数(C)</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分值（10分）</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执行率(C/B)</w:t>
            </w:r>
          </w:p>
        </w:tc>
        <w:tc>
          <w:tcPr>
            <w:tcW w:w="26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得分</w:t>
            </w:r>
          </w:p>
        </w:tc>
      </w:tr>
      <w:tr w:rsidR="008A5835" w:rsidRPr="0044563C" w:rsidTr="00640A89">
        <w:trPr>
          <w:trHeight w:val="240"/>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年度资金总额：</w:t>
            </w:r>
          </w:p>
        </w:tc>
        <w:tc>
          <w:tcPr>
            <w:tcW w:w="122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44.010000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44.010000 </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42.860950 </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97.39%</w:t>
            </w:r>
          </w:p>
        </w:tc>
        <w:tc>
          <w:tcPr>
            <w:tcW w:w="26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9.74 </w:t>
            </w:r>
          </w:p>
        </w:tc>
      </w:tr>
      <w:tr w:rsidR="008A5835" w:rsidRPr="0044563C" w:rsidTr="00640A89">
        <w:trPr>
          <w:trHeight w:val="240"/>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其中:当年财政拨款</w:t>
            </w:r>
          </w:p>
        </w:tc>
        <w:tc>
          <w:tcPr>
            <w:tcW w:w="122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26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r>
      <w:tr w:rsidR="008A5835" w:rsidRPr="0044563C" w:rsidTr="00640A89">
        <w:trPr>
          <w:trHeight w:val="240"/>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上年结转资金</w:t>
            </w:r>
          </w:p>
        </w:tc>
        <w:tc>
          <w:tcPr>
            <w:tcW w:w="122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26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r>
      <w:tr w:rsidR="008A5835" w:rsidRPr="0044563C" w:rsidTr="00640A89">
        <w:trPr>
          <w:trHeight w:val="240"/>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其他资金</w:t>
            </w:r>
          </w:p>
        </w:tc>
        <w:tc>
          <w:tcPr>
            <w:tcW w:w="122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44.010000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44.010000 </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42.860950 </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97.39%</w:t>
            </w:r>
          </w:p>
        </w:tc>
        <w:tc>
          <w:tcPr>
            <w:tcW w:w="26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9.74 </w:t>
            </w:r>
          </w:p>
        </w:tc>
      </w:tr>
      <w:tr w:rsidR="008A5835" w:rsidRPr="0044563C" w:rsidTr="00640A89">
        <w:trPr>
          <w:trHeight w:val="240"/>
        </w:trPr>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年度总体目标</w:t>
            </w:r>
          </w:p>
        </w:tc>
        <w:tc>
          <w:tcPr>
            <w:tcW w:w="7320" w:type="dxa"/>
            <w:gridSpan w:val="5"/>
            <w:tcBorders>
              <w:top w:val="single" w:sz="4" w:space="0" w:color="auto"/>
              <w:left w:val="nil"/>
              <w:bottom w:val="single" w:sz="4" w:space="0" w:color="auto"/>
              <w:right w:val="nil"/>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预期目标</w:t>
            </w:r>
          </w:p>
        </w:tc>
        <w:tc>
          <w:tcPr>
            <w:tcW w:w="6520" w:type="dxa"/>
            <w:gridSpan w:val="4"/>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实际完成情况</w:t>
            </w:r>
          </w:p>
        </w:tc>
      </w:tr>
      <w:tr w:rsidR="008A5835" w:rsidRPr="0044563C" w:rsidTr="00640A89">
        <w:trPr>
          <w:trHeight w:val="1080"/>
        </w:trPr>
        <w:tc>
          <w:tcPr>
            <w:tcW w:w="94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7320" w:type="dxa"/>
            <w:gridSpan w:val="5"/>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根据贯彻习近平总书记在纪念孔子诞辰2565周年国际学术研讨会上的讲话精神以及部门年度工作计划，结合实际业务需求，开展祭孔大典文化活动工作，以扩大博物馆弘扬优秀传统文化的辐射面，在树立文化自信，构建和谐社会、凝聚民族精神等方面具有非常积极的社会作用。</w:t>
            </w:r>
          </w:p>
        </w:tc>
        <w:tc>
          <w:tcPr>
            <w:tcW w:w="6520" w:type="dxa"/>
            <w:gridSpan w:val="4"/>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通过开展祭孔大典文化活动工作，扩大了博物馆弘扬优秀传统文化的辐射面，树立了文化自信，对构建和谐社会、凝聚民族精神等方面具有非常积极的社会作用。</w:t>
            </w:r>
          </w:p>
        </w:tc>
      </w:tr>
      <w:tr w:rsidR="008A5835" w:rsidRPr="0044563C" w:rsidTr="00640A89">
        <w:trPr>
          <w:trHeight w:val="240"/>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绩效指标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一级指标</w:t>
            </w:r>
          </w:p>
        </w:tc>
        <w:tc>
          <w:tcPr>
            <w:tcW w:w="130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二级指标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三级指标</w:t>
            </w:r>
          </w:p>
        </w:tc>
        <w:tc>
          <w:tcPr>
            <w:tcW w:w="2580" w:type="dxa"/>
            <w:gridSpan w:val="2"/>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年度指标值(A)</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实际完成值</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分值</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得分</w:t>
            </w:r>
          </w:p>
        </w:tc>
        <w:tc>
          <w:tcPr>
            <w:tcW w:w="26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偏差原因分析及改进措施</w:t>
            </w:r>
          </w:p>
        </w:tc>
      </w:tr>
      <w:tr w:rsidR="008A5835" w:rsidRPr="0044563C" w:rsidTr="00640A89">
        <w:trPr>
          <w:trHeight w:val="2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产出指标</w:t>
            </w:r>
          </w:p>
        </w:tc>
        <w:tc>
          <w:tcPr>
            <w:tcW w:w="1300" w:type="dxa"/>
            <w:vMerge w:val="restart"/>
            <w:tcBorders>
              <w:top w:val="nil"/>
              <w:left w:val="single" w:sz="4" w:space="0" w:color="auto"/>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数量指标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仪式执礼人员培训人数</w:t>
            </w:r>
          </w:p>
        </w:tc>
        <w:tc>
          <w:tcPr>
            <w:tcW w:w="258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≥100人数</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111人</w:t>
            </w:r>
          </w:p>
        </w:tc>
        <w:tc>
          <w:tcPr>
            <w:tcW w:w="1280" w:type="dxa"/>
            <w:tcBorders>
              <w:top w:val="nil"/>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26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2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制作宣传素材个数</w:t>
            </w:r>
          </w:p>
        </w:tc>
        <w:tc>
          <w:tcPr>
            <w:tcW w:w="258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≥1个</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1个</w:t>
            </w:r>
          </w:p>
        </w:tc>
        <w:tc>
          <w:tcPr>
            <w:tcW w:w="12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26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120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现场活动参与人数</w:t>
            </w:r>
          </w:p>
        </w:tc>
        <w:tc>
          <w:tcPr>
            <w:tcW w:w="2580" w:type="dxa"/>
            <w:gridSpan w:val="2"/>
            <w:tcBorders>
              <w:top w:val="single" w:sz="4" w:space="0" w:color="auto"/>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≥100人数</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500人</w:t>
            </w:r>
          </w:p>
        </w:tc>
        <w:tc>
          <w:tcPr>
            <w:tcW w:w="12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4.00 </w:t>
            </w:r>
          </w:p>
        </w:tc>
        <w:tc>
          <w:tcPr>
            <w:tcW w:w="26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rPr>
                <w:rFonts w:ascii="宋体" w:hAnsi="宋体" w:cs="宋体"/>
                <w:kern w:val="0"/>
                <w:sz w:val="20"/>
                <w:szCs w:val="20"/>
              </w:rPr>
            </w:pPr>
            <w:r w:rsidRPr="0044563C">
              <w:rPr>
                <w:rFonts w:ascii="宋体" w:hAnsi="宋体" w:cs="宋体" w:hint="eastAsia"/>
                <w:kern w:val="0"/>
                <w:sz w:val="20"/>
                <w:szCs w:val="20"/>
              </w:rPr>
              <w:t>偏差原因分析：对活动参与人数预估偏低</w:t>
            </w:r>
            <w:r w:rsidRPr="0044563C">
              <w:rPr>
                <w:rFonts w:ascii="宋体" w:hAnsi="宋体" w:cs="宋体" w:hint="eastAsia"/>
                <w:kern w:val="0"/>
                <w:sz w:val="20"/>
                <w:szCs w:val="20"/>
              </w:rPr>
              <w:br/>
              <w:t>改进措施：以后加强项目预算绩效管理工作，根据以前年度观众规模适当上调指标值</w:t>
            </w:r>
          </w:p>
        </w:tc>
      </w:tr>
      <w:tr w:rsidR="008A5835" w:rsidRPr="0044563C" w:rsidTr="00640A89">
        <w:trPr>
          <w:trHeight w:val="2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举办文化活动场次</w:t>
            </w:r>
          </w:p>
        </w:tc>
        <w:tc>
          <w:tcPr>
            <w:tcW w:w="2580" w:type="dxa"/>
            <w:gridSpan w:val="2"/>
            <w:tcBorders>
              <w:top w:val="nil"/>
              <w:left w:val="nil"/>
              <w:bottom w:val="nil"/>
              <w:right w:val="nil"/>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1个</w:t>
            </w:r>
          </w:p>
        </w:tc>
        <w:tc>
          <w:tcPr>
            <w:tcW w:w="1380" w:type="dxa"/>
            <w:tcBorders>
              <w:top w:val="nil"/>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1个</w:t>
            </w:r>
          </w:p>
        </w:tc>
        <w:tc>
          <w:tcPr>
            <w:tcW w:w="12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26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96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质量指标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仪式执礼人员培训合格率</w:t>
            </w:r>
          </w:p>
        </w:tc>
        <w:tc>
          <w:tcPr>
            <w:tcW w:w="258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≥95%</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合格</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7.00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7.00 </w:t>
            </w:r>
          </w:p>
        </w:tc>
        <w:tc>
          <w:tcPr>
            <w:tcW w:w="26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rPr>
                <w:rFonts w:ascii="宋体" w:hAnsi="宋体" w:cs="宋体"/>
                <w:kern w:val="0"/>
                <w:sz w:val="20"/>
                <w:szCs w:val="20"/>
              </w:rPr>
            </w:pPr>
            <w:r w:rsidRPr="0044563C">
              <w:rPr>
                <w:rFonts w:ascii="宋体" w:hAnsi="宋体" w:cs="宋体" w:hint="eastAsia"/>
                <w:kern w:val="0"/>
                <w:sz w:val="20"/>
                <w:szCs w:val="20"/>
              </w:rPr>
              <w:t>偏差原因分析：相应支撑材料不够充分</w:t>
            </w:r>
            <w:r w:rsidRPr="0044563C">
              <w:rPr>
                <w:rFonts w:ascii="宋体" w:hAnsi="宋体" w:cs="宋体" w:hint="eastAsia"/>
                <w:kern w:val="0"/>
                <w:sz w:val="20"/>
                <w:szCs w:val="20"/>
              </w:rPr>
              <w:br/>
              <w:t>改进措施：今后将加强收集和留存相关绩效支撑材料</w:t>
            </w:r>
          </w:p>
        </w:tc>
      </w:tr>
      <w:tr w:rsidR="008A5835" w:rsidRPr="0044563C" w:rsidTr="00640A89">
        <w:trPr>
          <w:trHeight w:val="72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活动开展安全有序</w:t>
            </w:r>
          </w:p>
        </w:tc>
        <w:tc>
          <w:tcPr>
            <w:tcW w:w="2580" w:type="dxa"/>
            <w:gridSpan w:val="2"/>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优</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活动开展安全有序，无安全事故发生</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8.00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8.00 </w:t>
            </w:r>
          </w:p>
        </w:tc>
        <w:tc>
          <w:tcPr>
            <w:tcW w:w="26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4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时效指标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2023年11月30日前完成</w:t>
            </w:r>
          </w:p>
        </w:tc>
        <w:tc>
          <w:tcPr>
            <w:tcW w:w="258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11月</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9月完成竣工，10月完成支付</w:t>
            </w:r>
          </w:p>
        </w:tc>
        <w:tc>
          <w:tcPr>
            <w:tcW w:w="1280" w:type="dxa"/>
            <w:tcBorders>
              <w:top w:val="nil"/>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180" w:type="dxa"/>
            <w:tcBorders>
              <w:top w:val="nil"/>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26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14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截止2023年10月31日资金支付进度</w:t>
            </w:r>
          </w:p>
        </w:tc>
        <w:tc>
          <w:tcPr>
            <w:tcW w:w="258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100%</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97.39%</w:t>
            </w:r>
          </w:p>
        </w:tc>
        <w:tc>
          <w:tcPr>
            <w:tcW w:w="12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1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1.80 </w:t>
            </w:r>
          </w:p>
        </w:tc>
        <w:tc>
          <w:tcPr>
            <w:tcW w:w="26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偏差原因分析：因履行采购程序，比选报价低于预算金额，导致资金支付比例低于预期目标</w:t>
            </w:r>
            <w:r w:rsidRPr="0044563C">
              <w:rPr>
                <w:rFonts w:ascii="宋体" w:hAnsi="宋体" w:cs="宋体" w:hint="eastAsia"/>
                <w:kern w:val="0"/>
                <w:sz w:val="20"/>
                <w:szCs w:val="20"/>
              </w:rPr>
              <w:br/>
              <w:t>改进措施：以后加强项目计划编制的合理性以及风险预估</w:t>
            </w:r>
          </w:p>
        </w:tc>
      </w:tr>
      <w:tr w:rsidR="008A5835" w:rsidRPr="0044563C" w:rsidTr="00640A89">
        <w:trPr>
          <w:trHeight w:val="4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2023年9月30日前完成项目实施</w:t>
            </w:r>
          </w:p>
        </w:tc>
        <w:tc>
          <w:tcPr>
            <w:tcW w:w="258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9月</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9月</w:t>
            </w:r>
          </w:p>
        </w:tc>
        <w:tc>
          <w:tcPr>
            <w:tcW w:w="12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1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26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4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截止2023年6月30日资金支付进度</w:t>
            </w:r>
          </w:p>
        </w:tc>
        <w:tc>
          <w:tcPr>
            <w:tcW w:w="2580" w:type="dxa"/>
            <w:gridSpan w:val="2"/>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≥60%</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60%</w:t>
            </w:r>
          </w:p>
        </w:tc>
        <w:tc>
          <w:tcPr>
            <w:tcW w:w="12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 </w:t>
            </w:r>
          </w:p>
        </w:tc>
        <w:tc>
          <w:tcPr>
            <w:tcW w:w="11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 </w:t>
            </w:r>
          </w:p>
        </w:tc>
        <w:tc>
          <w:tcPr>
            <w:tcW w:w="26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4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2023年3月31日前完成项目立项</w:t>
            </w:r>
          </w:p>
        </w:tc>
        <w:tc>
          <w:tcPr>
            <w:tcW w:w="2580" w:type="dxa"/>
            <w:gridSpan w:val="2"/>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3月</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3月</w:t>
            </w:r>
          </w:p>
        </w:tc>
        <w:tc>
          <w:tcPr>
            <w:tcW w:w="12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 </w:t>
            </w:r>
          </w:p>
        </w:tc>
        <w:tc>
          <w:tcPr>
            <w:tcW w:w="11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 </w:t>
            </w:r>
          </w:p>
        </w:tc>
        <w:tc>
          <w:tcPr>
            <w:tcW w:w="26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4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2023年10月31日前完成验收</w:t>
            </w:r>
          </w:p>
        </w:tc>
        <w:tc>
          <w:tcPr>
            <w:tcW w:w="2580" w:type="dxa"/>
            <w:gridSpan w:val="2"/>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10月</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9月</w:t>
            </w:r>
          </w:p>
        </w:tc>
        <w:tc>
          <w:tcPr>
            <w:tcW w:w="12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1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26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72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tcBorders>
              <w:top w:val="single" w:sz="4" w:space="0" w:color="000000"/>
              <w:left w:val="nil"/>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成本指标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经济成本指标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项目总预算</w:t>
            </w:r>
          </w:p>
        </w:tc>
        <w:tc>
          <w:tcPr>
            <w:tcW w:w="258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≤44.01万</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42.860950万元</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26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因履行政府采购程序，比选报价低于预算金额，节约资金1.14905万元</w:t>
            </w:r>
          </w:p>
        </w:tc>
      </w:tr>
      <w:tr w:rsidR="008A5835" w:rsidRPr="0044563C" w:rsidTr="00640A89">
        <w:trPr>
          <w:trHeight w:val="120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效益指标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社会效益指标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保障公共文化传承，扩大博物馆弘扬优秀传统文化的辐射面，树立文化自信</w:t>
            </w:r>
          </w:p>
        </w:tc>
        <w:tc>
          <w:tcPr>
            <w:tcW w:w="258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优</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进一步扩大了博物馆弘扬优秀传统文化的辐射面</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8.00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6.50 </w:t>
            </w:r>
          </w:p>
        </w:tc>
        <w:tc>
          <w:tcPr>
            <w:tcW w:w="26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rPr>
                <w:rFonts w:ascii="宋体" w:hAnsi="宋体" w:cs="宋体"/>
                <w:kern w:val="0"/>
                <w:sz w:val="20"/>
                <w:szCs w:val="20"/>
              </w:rPr>
            </w:pPr>
            <w:r w:rsidRPr="0044563C">
              <w:rPr>
                <w:rFonts w:ascii="宋体" w:hAnsi="宋体" w:cs="宋体" w:hint="eastAsia"/>
                <w:kern w:val="0"/>
                <w:sz w:val="20"/>
                <w:szCs w:val="20"/>
              </w:rPr>
              <w:t>偏差原因分析：相应支撑材料不够充分</w:t>
            </w:r>
            <w:r w:rsidRPr="0044563C">
              <w:rPr>
                <w:rFonts w:ascii="宋体" w:hAnsi="宋体" w:cs="宋体" w:hint="eastAsia"/>
                <w:kern w:val="0"/>
                <w:sz w:val="20"/>
                <w:szCs w:val="20"/>
              </w:rPr>
              <w:br/>
              <w:t>改进措施：今后将加强相关绩效支撑材料收集、整理及归档工作</w:t>
            </w:r>
          </w:p>
        </w:tc>
      </w:tr>
      <w:tr w:rsidR="008A5835" w:rsidRPr="0044563C" w:rsidTr="00640A89">
        <w:trPr>
          <w:trHeight w:val="120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可持续影响指标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系列活动开展年限</w:t>
            </w:r>
          </w:p>
        </w:tc>
        <w:tc>
          <w:tcPr>
            <w:tcW w:w="258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≥1年</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15年</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8.00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5.60 </w:t>
            </w:r>
          </w:p>
        </w:tc>
        <w:tc>
          <w:tcPr>
            <w:tcW w:w="26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rPr>
                <w:rFonts w:ascii="宋体" w:hAnsi="宋体" w:cs="宋体"/>
                <w:kern w:val="0"/>
                <w:sz w:val="20"/>
                <w:szCs w:val="20"/>
              </w:rPr>
            </w:pPr>
            <w:r w:rsidRPr="0044563C">
              <w:rPr>
                <w:rFonts w:ascii="宋体" w:hAnsi="宋体" w:cs="宋体" w:hint="eastAsia"/>
                <w:kern w:val="0"/>
                <w:sz w:val="20"/>
                <w:szCs w:val="20"/>
              </w:rPr>
              <w:t>偏差原因分析：年初指标值设置偏低</w:t>
            </w:r>
            <w:r w:rsidRPr="0044563C">
              <w:rPr>
                <w:rFonts w:ascii="宋体" w:hAnsi="宋体" w:cs="宋体" w:hint="eastAsia"/>
                <w:kern w:val="0"/>
                <w:sz w:val="20"/>
                <w:szCs w:val="20"/>
              </w:rPr>
              <w:br/>
              <w:t>改进措施：以后加强项目预算绩效管理工作，合理编制项目绩效目标</w:t>
            </w:r>
          </w:p>
        </w:tc>
      </w:tr>
      <w:tr w:rsidR="008A5835" w:rsidRPr="0044563C" w:rsidTr="00640A89">
        <w:trPr>
          <w:trHeight w:val="120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提升对行业正向影响传播</w:t>
            </w:r>
          </w:p>
        </w:tc>
        <w:tc>
          <w:tcPr>
            <w:tcW w:w="258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优</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得到提升</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7.50 </w:t>
            </w:r>
          </w:p>
        </w:tc>
        <w:tc>
          <w:tcPr>
            <w:tcW w:w="26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rPr>
                <w:rFonts w:ascii="宋体" w:hAnsi="宋体" w:cs="宋体"/>
                <w:kern w:val="0"/>
                <w:sz w:val="20"/>
                <w:szCs w:val="20"/>
              </w:rPr>
            </w:pPr>
            <w:r w:rsidRPr="0044563C">
              <w:rPr>
                <w:rFonts w:ascii="宋体" w:hAnsi="宋体" w:cs="宋体" w:hint="eastAsia"/>
                <w:kern w:val="0"/>
                <w:sz w:val="20"/>
                <w:szCs w:val="20"/>
              </w:rPr>
              <w:t>偏差原因分析：相应支撑材料不够充分</w:t>
            </w:r>
            <w:r w:rsidRPr="0044563C">
              <w:rPr>
                <w:rFonts w:ascii="宋体" w:hAnsi="宋体" w:cs="宋体" w:hint="eastAsia"/>
                <w:kern w:val="0"/>
                <w:sz w:val="20"/>
                <w:szCs w:val="20"/>
              </w:rPr>
              <w:br/>
              <w:t>改进措施：今后将加强相关绩效支撑材料收集、整理及归档工作</w:t>
            </w:r>
          </w:p>
        </w:tc>
      </w:tr>
      <w:tr w:rsidR="008A5835" w:rsidRPr="0044563C" w:rsidTr="00640A89">
        <w:trPr>
          <w:trHeight w:val="679"/>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满意度指标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服务对象满意度指标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观众满意度</w:t>
            </w:r>
          </w:p>
        </w:tc>
        <w:tc>
          <w:tcPr>
            <w:tcW w:w="258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≥95%</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96.90%</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26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420"/>
        </w:trPr>
        <w:tc>
          <w:tcPr>
            <w:tcW w:w="9640"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总分：</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93.14 </w:t>
            </w:r>
          </w:p>
        </w:tc>
        <w:tc>
          <w:tcPr>
            <w:tcW w:w="26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 xml:space="preserve">　</w:t>
            </w:r>
          </w:p>
        </w:tc>
      </w:tr>
    </w:tbl>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tbl>
      <w:tblPr>
        <w:tblW w:w="13920" w:type="dxa"/>
        <w:tblInd w:w="93" w:type="dxa"/>
        <w:tblLook w:val="04A0" w:firstRow="1" w:lastRow="0" w:firstColumn="1" w:lastColumn="0" w:noHBand="0" w:noVBand="1"/>
      </w:tblPr>
      <w:tblGrid>
        <w:gridCol w:w="940"/>
        <w:gridCol w:w="1300"/>
        <w:gridCol w:w="1300"/>
        <w:gridCol w:w="2140"/>
        <w:gridCol w:w="1580"/>
        <w:gridCol w:w="1360"/>
        <w:gridCol w:w="1360"/>
        <w:gridCol w:w="1280"/>
        <w:gridCol w:w="1180"/>
        <w:gridCol w:w="1480"/>
      </w:tblGrid>
      <w:tr w:rsidR="008A5835" w:rsidRPr="0044563C" w:rsidTr="00640A89">
        <w:trPr>
          <w:trHeight w:val="405"/>
        </w:trPr>
        <w:tc>
          <w:tcPr>
            <w:tcW w:w="13920" w:type="dxa"/>
            <w:gridSpan w:val="10"/>
            <w:tcBorders>
              <w:top w:val="nil"/>
              <w:left w:val="nil"/>
              <w:bottom w:val="nil"/>
              <w:right w:val="nil"/>
            </w:tcBorders>
            <w:shd w:val="clear" w:color="auto" w:fill="auto"/>
            <w:vAlign w:val="center"/>
            <w:hideMark/>
          </w:tcPr>
          <w:p w:rsidR="008A5835" w:rsidRPr="0044563C" w:rsidRDefault="008A5835" w:rsidP="00640A89">
            <w:pPr>
              <w:widowControl/>
              <w:jc w:val="center"/>
              <w:rPr>
                <w:rFonts w:ascii="宋体" w:hAnsi="宋体" w:cs="宋体"/>
                <w:kern w:val="0"/>
                <w:sz w:val="28"/>
                <w:szCs w:val="28"/>
              </w:rPr>
            </w:pPr>
            <w:r w:rsidRPr="0044563C">
              <w:rPr>
                <w:rFonts w:ascii="宋体" w:hAnsi="宋体" w:cs="宋体" w:hint="eastAsia"/>
                <w:kern w:val="0"/>
                <w:sz w:val="28"/>
                <w:szCs w:val="28"/>
              </w:rPr>
              <w:lastRenderedPageBreak/>
              <w:t>项目支出绩效自评表</w:t>
            </w:r>
          </w:p>
        </w:tc>
      </w:tr>
      <w:tr w:rsidR="008A5835" w:rsidRPr="0044563C" w:rsidTr="00640A89">
        <w:trPr>
          <w:trHeight w:val="315"/>
        </w:trPr>
        <w:tc>
          <w:tcPr>
            <w:tcW w:w="13920" w:type="dxa"/>
            <w:gridSpan w:val="10"/>
            <w:tcBorders>
              <w:top w:val="nil"/>
              <w:left w:val="nil"/>
              <w:bottom w:val="nil"/>
              <w:right w:val="nil"/>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（2023年度）</w:t>
            </w:r>
          </w:p>
        </w:tc>
      </w:tr>
      <w:tr w:rsidR="008A5835" w:rsidRPr="0044563C" w:rsidTr="00640A89">
        <w:trPr>
          <w:trHeight w:val="402"/>
        </w:trPr>
        <w:tc>
          <w:tcPr>
            <w:tcW w:w="3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项目名称</w:t>
            </w:r>
          </w:p>
        </w:tc>
        <w:tc>
          <w:tcPr>
            <w:tcW w:w="10380" w:type="dxa"/>
            <w:gridSpan w:val="7"/>
            <w:tcBorders>
              <w:top w:val="single" w:sz="4" w:space="0" w:color="auto"/>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11000022T000000437664-孔庙国子监论丛出版费</w:t>
            </w:r>
          </w:p>
        </w:tc>
      </w:tr>
      <w:tr w:rsidR="008A5835" w:rsidRPr="0044563C" w:rsidTr="00640A89">
        <w:trPr>
          <w:trHeight w:val="402"/>
        </w:trPr>
        <w:tc>
          <w:tcPr>
            <w:tcW w:w="3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主管部门及代码</w:t>
            </w:r>
          </w:p>
        </w:tc>
        <w:tc>
          <w:tcPr>
            <w:tcW w:w="508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048-北京市文物局</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实施单位</w:t>
            </w:r>
          </w:p>
        </w:tc>
        <w:tc>
          <w:tcPr>
            <w:tcW w:w="3940" w:type="dxa"/>
            <w:gridSpan w:val="3"/>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048025-孔庙和国子监博物馆</w:t>
            </w:r>
          </w:p>
        </w:tc>
      </w:tr>
      <w:tr w:rsidR="008A5835" w:rsidRPr="0044563C" w:rsidTr="00640A89">
        <w:trPr>
          <w:trHeight w:val="402"/>
        </w:trPr>
        <w:tc>
          <w:tcPr>
            <w:tcW w:w="354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项目负责人</w:t>
            </w:r>
          </w:p>
        </w:tc>
        <w:tc>
          <w:tcPr>
            <w:tcW w:w="508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邹鑫</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联系电话</w:t>
            </w:r>
          </w:p>
        </w:tc>
        <w:tc>
          <w:tcPr>
            <w:tcW w:w="394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13520784789</w:t>
            </w:r>
          </w:p>
        </w:tc>
      </w:tr>
      <w:tr w:rsidR="008A5835" w:rsidRPr="0044563C" w:rsidTr="00640A89">
        <w:trPr>
          <w:trHeight w:val="522"/>
        </w:trPr>
        <w:tc>
          <w:tcPr>
            <w:tcW w:w="35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项目资金（万元）</w:t>
            </w:r>
          </w:p>
        </w:tc>
        <w:tc>
          <w:tcPr>
            <w:tcW w:w="2140" w:type="dxa"/>
            <w:tcBorders>
              <w:top w:val="nil"/>
              <w:left w:val="nil"/>
              <w:bottom w:val="single" w:sz="4" w:space="0" w:color="auto"/>
              <w:right w:val="single" w:sz="4" w:space="0" w:color="auto"/>
              <w:tl2br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年初预算数</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全年预算数(B)</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全年执行数(C)</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分值（10分）</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执行率(C/B)</w:t>
            </w:r>
          </w:p>
        </w:tc>
        <w:tc>
          <w:tcPr>
            <w:tcW w:w="14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得分</w:t>
            </w:r>
          </w:p>
        </w:tc>
      </w:tr>
      <w:tr w:rsidR="008A5835" w:rsidRPr="0044563C" w:rsidTr="00640A89">
        <w:trPr>
          <w:trHeight w:val="402"/>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年度资金总额：</w:t>
            </w:r>
          </w:p>
        </w:tc>
        <w:tc>
          <w:tcPr>
            <w:tcW w:w="15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9.402500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9.402500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9.400000 </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99.97%</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r>
      <w:tr w:rsidR="008A5835" w:rsidRPr="0044563C" w:rsidTr="00640A89">
        <w:trPr>
          <w:trHeight w:val="402"/>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其中:当年财政拨款</w:t>
            </w:r>
          </w:p>
        </w:tc>
        <w:tc>
          <w:tcPr>
            <w:tcW w:w="15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4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r>
      <w:tr w:rsidR="008A5835" w:rsidRPr="0044563C" w:rsidTr="00640A89">
        <w:trPr>
          <w:trHeight w:val="402"/>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上年结转资金</w:t>
            </w:r>
          </w:p>
        </w:tc>
        <w:tc>
          <w:tcPr>
            <w:tcW w:w="15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4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r>
      <w:tr w:rsidR="008A5835" w:rsidRPr="0044563C" w:rsidTr="00640A89">
        <w:trPr>
          <w:trHeight w:val="402"/>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其他资金</w:t>
            </w:r>
          </w:p>
        </w:tc>
        <w:tc>
          <w:tcPr>
            <w:tcW w:w="15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9.402500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9.402500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9.400000 </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99.97%</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r>
      <w:tr w:rsidR="008A5835" w:rsidRPr="0044563C" w:rsidTr="00640A89">
        <w:trPr>
          <w:trHeight w:val="402"/>
        </w:trPr>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年度总体目标</w:t>
            </w:r>
          </w:p>
        </w:tc>
        <w:tc>
          <w:tcPr>
            <w:tcW w:w="7680" w:type="dxa"/>
            <w:gridSpan w:val="5"/>
            <w:tcBorders>
              <w:top w:val="single" w:sz="4" w:space="0" w:color="auto"/>
              <w:left w:val="nil"/>
              <w:bottom w:val="single" w:sz="4" w:space="0" w:color="auto"/>
              <w:right w:val="nil"/>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预期目标</w:t>
            </w:r>
          </w:p>
        </w:tc>
        <w:tc>
          <w:tcPr>
            <w:tcW w:w="5300" w:type="dxa"/>
            <w:gridSpan w:val="4"/>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实际完成情况</w:t>
            </w:r>
          </w:p>
        </w:tc>
      </w:tr>
      <w:tr w:rsidR="008A5835" w:rsidRPr="0044563C" w:rsidTr="00640A89">
        <w:trPr>
          <w:trHeight w:val="840"/>
        </w:trPr>
        <w:tc>
          <w:tcPr>
            <w:tcW w:w="94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7680" w:type="dxa"/>
            <w:gridSpan w:val="5"/>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完成2023年度孔庙国子监论丛的出版工作，出版300册，出版物符合国家法律法规相关标准，内容符合学术规范。</w:t>
            </w:r>
          </w:p>
        </w:tc>
        <w:tc>
          <w:tcPr>
            <w:tcW w:w="5300" w:type="dxa"/>
            <w:gridSpan w:val="4"/>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完成了2023年度孔庙国子监论丛的出版前期工作，预计出版300册，出版物符合国家法律法规相关标准，内容符合学术规范。</w:t>
            </w:r>
          </w:p>
        </w:tc>
      </w:tr>
      <w:tr w:rsidR="008A5835" w:rsidRPr="0044563C" w:rsidTr="00640A89">
        <w:trPr>
          <w:trHeight w:val="480"/>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绩效指标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一级指标</w:t>
            </w:r>
          </w:p>
        </w:tc>
        <w:tc>
          <w:tcPr>
            <w:tcW w:w="130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二级指标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三级指标</w:t>
            </w:r>
          </w:p>
        </w:tc>
        <w:tc>
          <w:tcPr>
            <w:tcW w:w="2940" w:type="dxa"/>
            <w:gridSpan w:val="2"/>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年度指标值(A)</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实际完成值</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分值</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得分</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偏差原因分析及改进措施</w:t>
            </w:r>
          </w:p>
        </w:tc>
      </w:tr>
      <w:tr w:rsidR="008A5835" w:rsidRPr="0044563C" w:rsidTr="00640A89">
        <w:trPr>
          <w:trHeight w:val="216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产出指标</w:t>
            </w:r>
          </w:p>
        </w:tc>
        <w:tc>
          <w:tcPr>
            <w:tcW w:w="1300" w:type="dxa"/>
            <w:tcBorders>
              <w:top w:val="nil"/>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数量指标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出版册数</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300本</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0本</w:t>
            </w:r>
          </w:p>
        </w:tc>
        <w:tc>
          <w:tcPr>
            <w:tcW w:w="1280" w:type="dxa"/>
            <w:tcBorders>
              <w:top w:val="nil"/>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15.00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偏差原因分析：因出版周期导致2024年月完成出版图书</w:t>
            </w:r>
            <w:r w:rsidRPr="0044563C">
              <w:rPr>
                <w:rFonts w:ascii="宋体" w:hAnsi="宋体" w:cs="宋体" w:hint="eastAsia"/>
                <w:kern w:val="0"/>
                <w:sz w:val="20"/>
                <w:szCs w:val="20"/>
              </w:rPr>
              <w:br/>
              <w:t>改进措施：以后加强项目预算绩效管理工作，合理编制</w:t>
            </w:r>
            <w:r w:rsidRPr="0044563C">
              <w:rPr>
                <w:rFonts w:ascii="宋体" w:hAnsi="宋体" w:cs="宋体" w:hint="eastAsia"/>
                <w:kern w:val="0"/>
                <w:sz w:val="20"/>
                <w:szCs w:val="20"/>
              </w:rPr>
              <w:lastRenderedPageBreak/>
              <w:t>项目绩效目标</w:t>
            </w:r>
          </w:p>
        </w:tc>
      </w:tr>
      <w:tr w:rsidR="008A5835" w:rsidRPr="0044563C" w:rsidTr="00640A89">
        <w:trPr>
          <w:trHeight w:val="222"/>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质量指标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内容错误率</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≤0.1‰</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15.00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15.00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4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时效指标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2023年12月底前</w:t>
            </w:r>
            <w:proofErr w:type="gramStart"/>
            <w:r w:rsidRPr="0044563C">
              <w:rPr>
                <w:rFonts w:ascii="宋体" w:hAnsi="宋体" w:cs="宋体" w:hint="eastAsia"/>
                <w:kern w:val="0"/>
                <w:sz w:val="20"/>
                <w:szCs w:val="20"/>
              </w:rPr>
              <w:t>完成结项验收</w:t>
            </w:r>
            <w:proofErr w:type="gramEnd"/>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12月</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10月</w:t>
            </w:r>
          </w:p>
        </w:tc>
        <w:tc>
          <w:tcPr>
            <w:tcW w:w="1280" w:type="dxa"/>
            <w:tcBorders>
              <w:top w:val="nil"/>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180" w:type="dxa"/>
            <w:tcBorders>
              <w:top w:val="nil"/>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4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2023年11月底前完成项目实施</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11月</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10月</w:t>
            </w:r>
          </w:p>
        </w:tc>
        <w:tc>
          <w:tcPr>
            <w:tcW w:w="12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3.00 </w:t>
            </w:r>
          </w:p>
        </w:tc>
        <w:tc>
          <w:tcPr>
            <w:tcW w:w="11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3.00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4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截止12月31日资金支付进度</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≤100%</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100%</w:t>
            </w:r>
          </w:p>
        </w:tc>
        <w:tc>
          <w:tcPr>
            <w:tcW w:w="12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3.00 </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3.00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4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2023年3月底前完成项目立项</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3月</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3月</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2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single" w:sz="4" w:space="0" w:color="000000"/>
              <w:left w:val="single" w:sz="4" w:space="0" w:color="auto"/>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成本指标</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经济成本指标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劳务费</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≤0.32万元</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0.32万元</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3.00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3.00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2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single" w:sz="4" w:space="0" w:color="000000"/>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委托业务费</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≤10.68</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9.08万元</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3.00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3.00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72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single" w:sz="4" w:space="0" w:color="000000"/>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项目总预算</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≤11万元</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9.40万元</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4.00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4.00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因内部询价节约资金0.0025万元</w:t>
            </w:r>
          </w:p>
        </w:tc>
      </w:tr>
      <w:tr w:rsidR="008A5835" w:rsidRPr="0044563C" w:rsidTr="00640A89">
        <w:trPr>
          <w:trHeight w:val="16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效益指标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社会效益指标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展示科研成果，促进学术交流</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优</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得到展示、促进</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15.00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12.75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偏差原因分析：相应支撑材料不够充分</w:t>
            </w:r>
            <w:r w:rsidRPr="0044563C">
              <w:rPr>
                <w:rFonts w:ascii="宋体" w:hAnsi="宋体" w:cs="宋体" w:hint="eastAsia"/>
                <w:kern w:val="0"/>
                <w:sz w:val="20"/>
                <w:szCs w:val="20"/>
              </w:rPr>
              <w:br/>
              <w:t>改进措施：今后将加强相关绩效支撑材料收集、整理及归档工作</w:t>
            </w:r>
          </w:p>
        </w:tc>
      </w:tr>
      <w:tr w:rsidR="008A5835" w:rsidRPr="0044563C" w:rsidTr="00640A89">
        <w:trPr>
          <w:trHeight w:val="16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可持续影响指标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促进科研学术水平的不断提升</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优</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得到促进</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15.00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12.75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偏差原因分析：相应支撑材料不够充分</w:t>
            </w:r>
            <w:r w:rsidRPr="0044563C">
              <w:rPr>
                <w:rFonts w:ascii="宋体" w:hAnsi="宋体" w:cs="宋体" w:hint="eastAsia"/>
                <w:kern w:val="0"/>
                <w:sz w:val="20"/>
                <w:szCs w:val="20"/>
              </w:rPr>
              <w:br/>
              <w:t>改进措施：今后将加强相关绩效支撑材料收集、整理及归档工作</w:t>
            </w:r>
          </w:p>
        </w:tc>
      </w:tr>
      <w:tr w:rsidR="008A5835" w:rsidRPr="0044563C" w:rsidTr="00640A89">
        <w:trPr>
          <w:trHeight w:val="16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满意度指标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服务对象满意度指标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参与者满意度</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≥90%</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100%</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偏差原因分析：满意度样本量偏低</w:t>
            </w:r>
            <w:r w:rsidRPr="0044563C">
              <w:rPr>
                <w:rFonts w:ascii="宋体" w:hAnsi="宋体" w:cs="宋体" w:hint="eastAsia"/>
                <w:kern w:val="0"/>
                <w:sz w:val="20"/>
                <w:szCs w:val="20"/>
              </w:rPr>
              <w:br/>
              <w:t>改进措施：今后将加强收集和留存相关绩效支撑材料</w:t>
            </w:r>
          </w:p>
        </w:tc>
      </w:tr>
      <w:tr w:rsidR="008A5835" w:rsidRPr="0044563C" w:rsidTr="00640A89">
        <w:trPr>
          <w:trHeight w:val="240"/>
        </w:trPr>
        <w:tc>
          <w:tcPr>
            <w:tcW w:w="9980"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总分：</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84.50 </w:t>
            </w:r>
          </w:p>
        </w:tc>
        <w:tc>
          <w:tcPr>
            <w:tcW w:w="14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 xml:space="preserve">　</w:t>
            </w:r>
          </w:p>
        </w:tc>
      </w:tr>
    </w:tbl>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tbl>
      <w:tblPr>
        <w:tblW w:w="14760" w:type="dxa"/>
        <w:tblInd w:w="93" w:type="dxa"/>
        <w:tblLook w:val="04A0" w:firstRow="1" w:lastRow="0" w:firstColumn="1" w:lastColumn="0" w:noHBand="0" w:noVBand="1"/>
      </w:tblPr>
      <w:tblGrid>
        <w:gridCol w:w="940"/>
        <w:gridCol w:w="1300"/>
        <w:gridCol w:w="1300"/>
        <w:gridCol w:w="2140"/>
        <w:gridCol w:w="1580"/>
        <w:gridCol w:w="1360"/>
        <w:gridCol w:w="1360"/>
        <w:gridCol w:w="1280"/>
        <w:gridCol w:w="1180"/>
        <w:gridCol w:w="2320"/>
      </w:tblGrid>
      <w:tr w:rsidR="008A5835" w:rsidRPr="0044563C" w:rsidTr="00640A89">
        <w:trPr>
          <w:trHeight w:val="405"/>
        </w:trPr>
        <w:tc>
          <w:tcPr>
            <w:tcW w:w="14760" w:type="dxa"/>
            <w:gridSpan w:val="10"/>
            <w:tcBorders>
              <w:top w:val="nil"/>
              <w:left w:val="nil"/>
              <w:bottom w:val="nil"/>
              <w:right w:val="nil"/>
            </w:tcBorders>
            <w:shd w:val="clear" w:color="auto" w:fill="auto"/>
            <w:vAlign w:val="center"/>
            <w:hideMark/>
          </w:tcPr>
          <w:p w:rsidR="008A5835" w:rsidRPr="0044563C" w:rsidRDefault="008A5835" w:rsidP="00640A89">
            <w:pPr>
              <w:widowControl/>
              <w:jc w:val="center"/>
              <w:rPr>
                <w:rFonts w:ascii="宋体" w:hAnsi="宋体" w:cs="宋体"/>
                <w:kern w:val="0"/>
                <w:sz w:val="28"/>
                <w:szCs w:val="28"/>
              </w:rPr>
            </w:pPr>
            <w:r w:rsidRPr="0044563C">
              <w:rPr>
                <w:rFonts w:ascii="宋体" w:hAnsi="宋体" w:cs="宋体" w:hint="eastAsia"/>
                <w:kern w:val="0"/>
                <w:sz w:val="28"/>
                <w:szCs w:val="28"/>
              </w:rPr>
              <w:lastRenderedPageBreak/>
              <w:t>项目支出绩效自评表</w:t>
            </w:r>
          </w:p>
        </w:tc>
      </w:tr>
      <w:tr w:rsidR="008A5835" w:rsidRPr="0044563C" w:rsidTr="00640A89">
        <w:trPr>
          <w:trHeight w:val="315"/>
        </w:trPr>
        <w:tc>
          <w:tcPr>
            <w:tcW w:w="14760" w:type="dxa"/>
            <w:gridSpan w:val="10"/>
            <w:tcBorders>
              <w:top w:val="nil"/>
              <w:left w:val="nil"/>
              <w:bottom w:val="nil"/>
              <w:right w:val="nil"/>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（2023年度）</w:t>
            </w:r>
          </w:p>
        </w:tc>
      </w:tr>
      <w:tr w:rsidR="008A5835" w:rsidRPr="0044563C" w:rsidTr="00640A89">
        <w:trPr>
          <w:trHeight w:val="402"/>
        </w:trPr>
        <w:tc>
          <w:tcPr>
            <w:tcW w:w="3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项目名称</w:t>
            </w:r>
          </w:p>
        </w:tc>
        <w:tc>
          <w:tcPr>
            <w:tcW w:w="11220" w:type="dxa"/>
            <w:gridSpan w:val="7"/>
            <w:tcBorders>
              <w:top w:val="single" w:sz="4" w:space="0" w:color="auto"/>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11000022Y000000437345-孔庙和国子监博物馆办公设备购置费</w:t>
            </w:r>
          </w:p>
        </w:tc>
      </w:tr>
      <w:tr w:rsidR="008A5835" w:rsidRPr="0044563C" w:rsidTr="00640A89">
        <w:trPr>
          <w:trHeight w:val="402"/>
        </w:trPr>
        <w:tc>
          <w:tcPr>
            <w:tcW w:w="3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主管部门及代码</w:t>
            </w:r>
          </w:p>
        </w:tc>
        <w:tc>
          <w:tcPr>
            <w:tcW w:w="508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048-北京市文物局</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实施单位</w:t>
            </w:r>
          </w:p>
        </w:tc>
        <w:tc>
          <w:tcPr>
            <w:tcW w:w="4780" w:type="dxa"/>
            <w:gridSpan w:val="3"/>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048025-孔庙和国子监博物馆</w:t>
            </w:r>
          </w:p>
        </w:tc>
      </w:tr>
      <w:tr w:rsidR="008A5835" w:rsidRPr="0044563C" w:rsidTr="00640A89">
        <w:trPr>
          <w:trHeight w:val="402"/>
        </w:trPr>
        <w:tc>
          <w:tcPr>
            <w:tcW w:w="354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项目负责人</w:t>
            </w:r>
          </w:p>
        </w:tc>
        <w:tc>
          <w:tcPr>
            <w:tcW w:w="508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葛维华</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联系电话</w:t>
            </w:r>
          </w:p>
        </w:tc>
        <w:tc>
          <w:tcPr>
            <w:tcW w:w="478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18801243535</w:t>
            </w:r>
          </w:p>
        </w:tc>
      </w:tr>
      <w:tr w:rsidR="008A5835" w:rsidRPr="0044563C" w:rsidTr="00640A89">
        <w:trPr>
          <w:trHeight w:val="522"/>
        </w:trPr>
        <w:tc>
          <w:tcPr>
            <w:tcW w:w="35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项目资金（万元）</w:t>
            </w:r>
          </w:p>
        </w:tc>
        <w:tc>
          <w:tcPr>
            <w:tcW w:w="2140" w:type="dxa"/>
            <w:tcBorders>
              <w:top w:val="nil"/>
              <w:left w:val="nil"/>
              <w:bottom w:val="single" w:sz="4" w:space="0" w:color="auto"/>
              <w:right w:val="single" w:sz="4" w:space="0" w:color="auto"/>
              <w:tl2br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年初预算数</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全年预算数(B)</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全年执行数(C)</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分值（10分）</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执行率(C/B)</w:t>
            </w:r>
          </w:p>
        </w:tc>
        <w:tc>
          <w:tcPr>
            <w:tcW w:w="232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得分</w:t>
            </w:r>
          </w:p>
        </w:tc>
      </w:tr>
      <w:tr w:rsidR="008A5835" w:rsidRPr="0044563C" w:rsidTr="00640A89">
        <w:trPr>
          <w:trHeight w:val="402"/>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年度资金总额：</w:t>
            </w:r>
          </w:p>
        </w:tc>
        <w:tc>
          <w:tcPr>
            <w:tcW w:w="15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9.020000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9.020000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8.503400 </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94.27%</w:t>
            </w:r>
          </w:p>
        </w:tc>
        <w:tc>
          <w:tcPr>
            <w:tcW w:w="232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9.43 </w:t>
            </w:r>
          </w:p>
        </w:tc>
      </w:tr>
      <w:tr w:rsidR="008A5835" w:rsidRPr="0044563C" w:rsidTr="00640A89">
        <w:trPr>
          <w:trHeight w:val="402"/>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其中:当年财政拨款</w:t>
            </w:r>
          </w:p>
        </w:tc>
        <w:tc>
          <w:tcPr>
            <w:tcW w:w="15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232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r>
      <w:tr w:rsidR="008A5835" w:rsidRPr="0044563C" w:rsidTr="00640A89">
        <w:trPr>
          <w:trHeight w:val="402"/>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上年结转资金</w:t>
            </w:r>
          </w:p>
        </w:tc>
        <w:tc>
          <w:tcPr>
            <w:tcW w:w="15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232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r>
      <w:tr w:rsidR="008A5835" w:rsidRPr="0044563C" w:rsidTr="00640A89">
        <w:trPr>
          <w:trHeight w:val="402"/>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其他资金</w:t>
            </w:r>
          </w:p>
        </w:tc>
        <w:tc>
          <w:tcPr>
            <w:tcW w:w="15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9.020000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9.020000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8.503400 </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94.27%</w:t>
            </w:r>
          </w:p>
        </w:tc>
        <w:tc>
          <w:tcPr>
            <w:tcW w:w="232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9.43 </w:t>
            </w:r>
          </w:p>
        </w:tc>
      </w:tr>
      <w:tr w:rsidR="008A5835" w:rsidRPr="0044563C" w:rsidTr="00640A89">
        <w:trPr>
          <w:trHeight w:val="402"/>
        </w:trPr>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年度总体目标</w:t>
            </w:r>
          </w:p>
        </w:tc>
        <w:tc>
          <w:tcPr>
            <w:tcW w:w="7680" w:type="dxa"/>
            <w:gridSpan w:val="5"/>
            <w:tcBorders>
              <w:top w:val="single" w:sz="4" w:space="0" w:color="auto"/>
              <w:left w:val="nil"/>
              <w:bottom w:val="single" w:sz="4" w:space="0" w:color="auto"/>
              <w:right w:val="nil"/>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预期目标</w:t>
            </w:r>
          </w:p>
        </w:tc>
        <w:tc>
          <w:tcPr>
            <w:tcW w:w="6140" w:type="dxa"/>
            <w:gridSpan w:val="4"/>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实际完成情况</w:t>
            </w:r>
          </w:p>
        </w:tc>
      </w:tr>
      <w:tr w:rsidR="008A5835" w:rsidRPr="0044563C" w:rsidTr="00640A89">
        <w:trPr>
          <w:trHeight w:val="720"/>
        </w:trPr>
        <w:tc>
          <w:tcPr>
            <w:tcW w:w="94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7680" w:type="dxa"/>
            <w:gridSpan w:val="5"/>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我单位部分资产已经达到使用年限，结合部门年度工作计划及实际业务需求，拟购置部分办公设备，以提高工作效率。</w:t>
            </w:r>
          </w:p>
        </w:tc>
        <w:tc>
          <w:tcPr>
            <w:tcW w:w="6140" w:type="dxa"/>
            <w:gridSpan w:val="4"/>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结合部门年度工作计划及实际业务需求，购置部分办公设备，提高了工作效率，满足了日常办公需求。</w:t>
            </w:r>
          </w:p>
        </w:tc>
      </w:tr>
      <w:tr w:rsidR="008A5835" w:rsidRPr="0044563C" w:rsidTr="00640A89">
        <w:trPr>
          <w:trHeight w:val="679"/>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绩效指标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一级指标</w:t>
            </w:r>
          </w:p>
        </w:tc>
        <w:tc>
          <w:tcPr>
            <w:tcW w:w="130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二级指标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三级指标</w:t>
            </w:r>
          </w:p>
        </w:tc>
        <w:tc>
          <w:tcPr>
            <w:tcW w:w="2940" w:type="dxa"/>
            <w:gridSpan w:val="2"/>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年度指标值(A)</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实际完成值</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分值</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得分</w:t>
            </w:r>
          </w:p>
        </w:tc>
        <w:tc>
          <w:tcPr>
            <w:tcW w:w="232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偏差原因分析及改进措施</w:t>
            </w:r>
          </w:p>
        </w:tc>
      </w:tr>
      <w:tr w:rsidR="008A5835" w:rsidRPr="0044563C" w:rsidTr="00640A89">
        <w:trPr>
          <w:trHeight w:val="16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产出指标</w:t>
            </w:r>
          </w:p>
        </w:tc>
        <w:tc>
          <w:tcPr>
            <w:tcW w:w="1300" w:type="dxa"/>
            <w:vMerge w:val="restart"/>
            <w:tcBorders>
              <w:top w:val="nil"/>
              <w:left w:val="single" w:sz="4" w:space="0" w:color="auto"/>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数量指标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办公设备</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≤16件</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15件</w:t>
            </w:r>
          </w:p>
        </w:tc>
        <w:tc>
          <w:tcPr>
            <w:tcW w:w="1280" w:type="dxa"/>
            <w:tcBorders>
              <w:top w:val="nil"/>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4.00 </w:t>
            </w:r>
          </w:p>
        </w:tc>
        <w:tc>
          <w:tcPr>
            <w:tcW w:w="232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偏差原因分析：原计划采购5台电脑，个别部门因工作需要减少1台电脑，增加办公家具4件</w:t>
            </w:r>
            <w:r w:rsidRPr="0044563C">
              <w:rPr>
                <w:rFonts w:ascii="宋体" w:hAnsi="宋体" w:cs="宋体" w:hint="eastAsia"/>
                <w:kern w:val="0"/>
                <w:sz w:val="20"/>
                <w:szCs w:val="20"/>
              </w:rPr>
              <w:br/>
              <w:t>改进措施：以后加强项目预算绩效管理工作，合理编制项目绩效目标</w:t>
            </w:r>
          </w:p>
        </w:tc>
      </w:tr>
      <w:tr w:rsidR="008A5835" w:rsidRPr="0044563C" w:rsidTr="00640A89">
        <w:trPr>
          <w:trHeight w:val="16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办公家具</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≤6件</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10件</w:t>
            </w:r>
          </w:p>
        </w:tc>
        <w:tc>
          <w:tcPr>
            <w:tcW w:w="12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4.00 </w:t>
            </w:r>
          </w:p>
        </w:tc>
        <w:tc>
          <w:tcPr>
            <w:tcW w:w="232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偏差原因分析：原计划采购5台电脑，个别部门因工作需要减少1台电脑，增加办公家具4件</w:t>
            </w:r>
            <w:r w:rsidRPr="0044563C">
              <w:rPr>
                <w:rFonts w:ascii="宋体" w:hAnsi="宋体" w:cs="宋体" w:hint="eastAsia"/>
                <w:kern w:val="0"/>
                <w:sz w:val="20"/>
                <w:szCs w:val="20"/>
              </w:rPr>
              <w:br/>
              <w:t>改进措施：以后加强项目预算绩效管理工作，合理编制项目绩效目标</w:t>
            </w:r>
          </w:p>
        </w:tc>
      </w:tr>
      <w:tr w:rsidR="008A5835" w:rsidRPr="0044563C" w:rsidTr="00640A89">
        <w:trPr>
          <w:trHeight w:val="499"/>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质量指标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购置设备验收合格率</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100%</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15.00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15.00 </w:t>
            </w:r>
          </w:p>
        </w:tc>
        <w:tc>
          <w:tcPr>
            <w:tcW w:w="232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4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时效指标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2023年2月28日前完成项目立项</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2月</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2月</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232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4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2023年11月30日前完成项目验收</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11月</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5月</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232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4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2023年11月30日前完成项目实施</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12月</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6月</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232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72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single" w:sz="4" w:space="0" w:color="000000"/>
              <w:left w:val="single" w:sz="4" w:space="0" w:color="auto"/>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成本指标</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经济成本指标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项目总预算</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≤9.02万元</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8.5034万元</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4.00 </w:t>
            </w:r>
          </w:p>
        </w:tc>
        <w:tc>
          <w:tcPr>
            <w:tcW w:w="232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因由于电子卖场采购商品价格有变化，节约资金0.5166万元</w:t>
            </w:r>
          </w:p>
        </w:tc>
      </w:tr>
      <w:tr w:rsidR="008A5835" w:rsidRPr="0044563C" w:rsidTr="00640A89">
        <w:trPr>
          <w:trHeight w:val="14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single" w:sz="4" w:space="0" w:color="000000"/>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办公家具</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≤4.4万元</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0.9735万元</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3.00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2.50 </w:t>
            </w:r>
          </w:p>
        </w:tc>
        <w:tc>
          <w:tcPr>
            <w:tcW w:w="232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偏差原因分析：原计划采购5台电脑，个别部门因工作需要减少1台电脑，增加办公家具4件</w:t>
            </w:r>
            <w:r w:rsidRPr="0044563C">
              <w:rPr>
                <w:rFonts w:ascii="宋体" w:hAnsi="宋体" w:cs="宋体" w:hint="eastAsia"/>
                <w:kern w:val="0"/>
                <w:sz w:val="20"/>
                <w:szCs w:val="20"/>
              </w:rPr>
              <w:br/>
              <w:t>改进措施：以后加强预算编制的合理性</w:t>
            </w:r>
          </w:p>
        </w:tc>
      </w:tr>
      <w:tr w:rsidR="008A5835" w:rsidRPr="0044563C" w:rsidTr="00640A89">
        <w:trPr>
          <w:trHeight w:val="14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single" w:sz="4" w:space="0" w:color="000000"/>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办公设备</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≤4.62万元</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7.5299万元</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1.50 </w:t>
            </w:r>
          </w:p>
        </w:tc>
        <w:tc>
          <w:tcPr>
            <w:tcW w:w="232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偏差原因分析：原计划采购5台电脑，个别部门因工作需要减少1台电脑，增加办公家具4件</w:t>
            </w:r>
            <w:r w:rsidRPr="0044563C">
              <w:rPr>
                <w:rFonts w:ascii="宋体" w:hAnsi="宋体" w:cs="宋体" w:hint="eastAsia"/>
                <w:kern w:val="0"/>
                <w:sz w:val="20"/>
                <w:szCs w:val="20"/>
              </w:rPr>
              <w:br/>
              <w:t>改进措施：以后加强预算编制的合理性</w:t>
            </w:r>
          </w:p>
        </w:tc>
      </w:tr>
      <w:tr w:rsidR="008A5835" w:rsidRPr="0044563C" w:rsidTr="00640A89">
        <w:trPr>
          <w:trHeight w:val="120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效益指标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社会效益指标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满足日常办公需求</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优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满足了办公需求</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8.50 </w:t>
            </w:r>
          </w:p>
        </w:tc>
        <w:tc>
          <w:tcPr>
            <w:tcW w:w="232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偏差原因分析：相应支撑材料不够充分</w:t>
            </w:r>
            <w:r w:rsidRPr="0044563C">
              <w:rPr>
                <w:rFonts w:ascii="宋体" w:hAnsi="宋体" w:cs="宋体" w:hint="eastAsia"/>
                <w:kern w:val="0"/>
                <w:sz w:val="20"/>
                <w:szCs w:val="20"/>
              </w:rPr>
              <w:br/>
              <w:t>改进措施：今后将加强相关绩效支撑材料收集、整理及归档工作</w:t>
            </w:r>
          </w:p>
        </w:tc>
      </w:tr>
      <w:tr w:rsidR="008A5835" w:rsidRPr="0044563C" w:rsidTr="00640A89">
        <w:trPr>
          <w:trHeight w:val="522"/>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可持续影响指标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办公家具使用年限</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≥15年</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15年</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232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679"/>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办公设备使用年限</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≥5年</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5年</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232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679"/>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满意度指标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服务对象满意度指标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设备使用人员满意度</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≥90%</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100%</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232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240"/>
        </w:trPr>
        <w:tc>
          <w:tcPr>
            <w:tcW w:w="9980"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总分：</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93.93 </w:t>
            </w:r>
          </w:p>
        </w:tc>
        <w:tc>
          <w:tcPr>
            <w:tcW w:w="232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 xml:space="preserve">　</w:t>
            </w:r>
          </w:p>
        </w:tc>
      </w:tr>
    </w:tbl>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tbl>
      <w:tblPr>
        <w:tblW w:w="13920" w:type="dxa"/>
        <w:tblInd w:w="93" w:type="dxa"/>
        <w:tblLook w:val="04A0" w:firstRow="1" w:lastRow="0" w:firstColumn="1" w:lastColumn="0" w:noHBand="0" w:noVBand="1"/>
      </w:tblPr>
      <w:tblGrid>
        <w:gridCol w:w="940"/>
        <w:gridCol w:w="1300"/>
        <w:gridCol w:w="1300"/>
        <w:gridCol w:w="2140"/>
        <w:gridCol w:w="1580"/>
        <w:gridCol w:w="1360"/>
        <w:gridCol w:w="1360"/>
        <w:gridCol w:w="1280"/>
        <w:gridCol w:w="1180"/>
        <w:gridCol w:w="1480"/>
      </w:tblGrid>
      <w:tr w:rsidR="008A5835" w:rsidRPr="0044563C" w:rsidTr="00640A89">
        <w:trPr>
          <w:trHeight w:val="405"/>
        </w:trPr>
        <w:tc>
          <w:tcPr>
            <w:tcW w:w="13920" w:type="dxa"/>
            <w:gridSpan w:val="10"/>
            <w:tcBorders>
              <w:top w:val="nil"/>
              <w:left w:val="nil"/>
              <w:bottom w:val="nil"/>
              <w:right w:val="nil"/>
            </w:tcBorders>
            <w:shd w:val="clear" w:color="auto" w:fill="auto"/>
            <w:vAlign w:val="center"/>
            <w:hideMark/>
          </w:tcPr>
          <w:p w:rsidR="008A5835" w:rsidRPr="0044563C" w:rsidRDefault="008A5835" w:rsidP="00640A89">
            <w:pPr>
              <w:widowControl/>
              <w:jc w:val="center"/>
              <w:rPr>
                <w:rFonts w:ascii="宋体" w:hAnsi="宋体" w:cs="宋体"/>
                <w:kern w:val="0"/>
                <w:sz w:val="28"/>
                <w:szCs w:val="28"/>
              </w:rPr>
            </w:pPr>
            <w:r w:rsidRPr="0044563C">
              <w:rPr>
                <w:rFonts w:ascii="宋体" w:hAnsi="宋体" w:cs="宋体" w:hint="eastAsia"/>
                <w:kern w:val="0"/>
                <w:sz w:val="28"/>
                <w:szCs w:val="28"/>
              </w:rPr>
              <w:lastRenderedPageBreak/>
              <w:t>项目支出绩效自评表</w:t>
            </w:r>
          </w:p>
        </w:tc>
      </w:tr>
      <w:tr w:rsidR="008A5835" w:rsidRPr="0044563C" w:rsidTr="00640A89">
        <w:trPr>
          <w:trHeight w:val="315"/>
        </w:trPr>
        <w:tc>
          <w:tcPr>
            <w:tcW w:w="13920" w:type="dxa"/>
            <w:gridSpan w:val="10"/>
            <w:tcBorders>
              <w:top w:val="nil"/>
              <w:left w:val="nil"/>
              <w:bottom w:val="nil"/>
              <w:right w:val="nil"/>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（2023年度）</w:t>
            </w:r>
          </w:p>
        </w:tc>
      </w:tr>
      <w:tr w:rsidR="008A5835" w:rsidRPr="0044563C" w:rsidTr="00640A89">
        <w:trPr>
          <w:trHeight w:val="398"/>
        </w:trPr>
        <w:tc>
          <w:tcPr>
            <w:tcW w:w="3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项目名称</w:t>
            </w:r>
          </w:p>
        </w:tc>
        <w:tc>
          <w:tcPr>
            <w:tcW w:w="10380" w:type="dxa"/>
            <w:gridSpan w:val="7"/>
            <w:tcBorders>
              <w:top w:val="single" w:sz="4" w:space="0" w:color="auto"/>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11000022Y000000438665-孔庙和国子监博物馆互联网</w:t>
            </w:r>
            <w:proofErr w:type="gramStart"/>
            <w:r w:rsidRPr="0044563C">
              <w:rPr>
                <w:rFonts w:ascii="宋体" w:hAnsi="宋体" w:cs="宋体" w:hint="eastAsia"/>
                <w:kern w:val="0"/>
                <w:sz w:val="20"/>
                <w:szCs w:val="20"/>
              </w:rPr>
              <w:t>接入费</w:t>
            </w:r>
            <w:proofErr w:type="gramEnd"/>
          </w:p>
        </w:tc>
      </w:tr>
      <w:tr w:rsidR="008A5835" w:rsidRPr="0044563C" w:rsidTr="00640A89">
        <w:trPr>
          <w:trHeight w:val="398"/>
        </w:trPr>
        <w:tc>
          <w:tcPr>
            <w:tcW w:w="3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主管部门及代码</w:t>
            </w:r>
          </w:p>
        </w:tc>
        <w:tc>
          <w:tcPr>
            <w:tcW w:w="508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048-北京市文物局</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实施单位</w:t>
            </w:r>
          </w:p>
        </w:tc>
        <w:tc>
          <w:tcPr>
            <w:tcW w:w="3940" w:type="dxa"/>
            <w:gridSpan w:val="3"/>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048025-孔庙和国子监博物馆</w:t>
            </w:r>
          </w:p>
        </w:tc>
      </w:tr>
      <w:tr w:rsidR="008A5835" w:rsidRPr="0044563C" w:rsidTr="00640A89">
        <w:trPr>
          <w:trHeight w:val="398"/>
        </w:trPr>
        <w:tc>
          <w:tcPr>
            <w:tcW w:w="354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项目负责人</w:t>
            </w:r>
          </w:p>
        </w:tc>
        <w:tc>
          <w:tcPr>
            <w:tcW w:w="508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尹春柳</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联系电话</w:t>
            </w:r>
          </w:p>
        </w:tc>
        <w:tc>
          <w:tcPr>
            <w:tcW w:w="394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15810801866</w:t>
            </w:r>
          </w:p>
        </w:tc>
      </w:tr>
      <w:tr w:rsidR="008A5835" w:rsidRPr="0044563C" w:rsidTr="00640A89">
        <w:trPr>
          <w:trHeight w:val="518"/>
        </w:trPr>
        <w:tc>
          <w:tcPr>
            <w:tcW w:w="35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项目资金（万元）</w:t>
            </w:r>
          </w:p>
        </w:tc>
        <w:tc>
          <w:tcPr>
            <w:tcW w:w="2140" w:type="dxa"/>
            <w:tcBorders>
              <w:top w:val="nil"/>
              <w:left w:val="nil"/>
              <w:bottom w:val="single" w:sz="4" w:space="0" w:color="auto"/>
              <w:right w:val="single" w:sz="4" w:space="0" w:color="auto"/>
              <w:tl2br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年初预算数</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全年预算数(B)</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全年执行数(C)</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分值（10分）</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执行率(C/B)</w:t>
            </w:r>
          </w:p>
        </w:tc>
        <w:tc>
          <w:tcPr>
            <w:tcW w:w="14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得分</w:t>
            </w:r>
          </w:p>
        </w:tc>
      </w:tr>
      <w:tr w:rsidR="008A5835" w:rsidRPr="0044563C" w:rsidTr="00640A89">
        <w:trPr>
          <w:trHeight w:val="398"/>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年度资金总额：</w:t>
            </w:r>
          </w:p>
        </w:tc>
        <w:tc>
          <w:tcPr>
            <w:tcW w:w="15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11.000000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11.000000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10.380000 </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94.36%</w:t>
            </w:r>
          </w:p>
        </w:tc>
        <w:tc>
          <w:tcPr>
            <w:tcW w:w="14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9.44 </w:t>
            </w:r>
          </w:p>
        </w:tc>
      </w:tr>
      <w:tr w:rsidR="008A5835" w:rsidRPr="0044563C" w:rsidTr="00640A89">
        <w:trPr>
          <w:trHeight w:val="398"/>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其中:当年财政拨款</w:t>
            </w:r>
          </w:p>
        </w:tc>
        <w:tc>
          <w:tcPr>
            <w:tcW w:w="15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r>
      <w:tr w:rsidR="008A5835" w:rsidRPr="0044563C" w:rsidTr="00640A89">
        <w:trPr>
          <w:trHeight w:val="398"/>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上年结转资金</w:t>
            </w:r>
          </w:p>
        </w:tc>
        <w:tc>
          <w:tcPr>
            <w:tcW w:w="15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4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r>
      <w:tr w:rsidR="008A5835" w:rsidRPr="0044563C" w:rsidTr="00640A89">
        <w:trPr>
          <w:trHeight w:val="398"/>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其他资金</w:t>
            </w:r>
          </w:p>
        </w:tc>
        <w:tc>
          <w:tcPr>
            <w:tcW w:w="15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11.000000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11.000000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10.380000 </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94.36%</w:t>
            </w:r>
          </w:p>
        </w:tc>
        <w:tc>
          <w:tcPr>
            <w:tcW w:w="14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9.44 </w:t>
            </w:r>
          </w:p>
        </w:tc>
      </w:tr>
      <w:tr w:rsidR="008A5835" w:rsidRPr="0044563C" w:rsidTr="00640A89">
        <w:trPr>
          <w:trHeight w:val="398"/>
        </w:trPr>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年度总体目标</w:t>
            </w:r>
          </w:p>
        </w:tc>
        <w:tc>
          <w:tcPr>
            <w:tcW w:w="7680" w:type="dxa"/>
            <w:gridSpan w:val="5"/>
            <w:tcBorders>
              <w:top w:val="single" w:sz="4" w:space="0" w:color="auto"/>
              <w:left w:val="nil"/>
              <w:bottom w:val="single" w:sz="4" w:space="0" w:color="auto"/>
              <w:right w:val="nil"/>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预期目标</w:t>
            </w:r>
          </w:p>
        </w:tc>
        <w:tc>
          <w:tcPr>
            <w:tcW w:w="5300" w:type="dxa"/>
            <w:gridSpan w:val="4"/>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实际完成情况</w:t>
            </w:r>
          </w:p>
        </w:tc>
      </w:tr>
      <w:tr w:rsidR="008A5835" w:rsidRPr="0044563C" w:rsidTr="00640A89">
        <w:trPr>
          <w:trHeight w:val="1699"/>
        </w:trPr>
        <w:tc>
          <w:tcPr>
            <w:tcW w:w="94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7680" w:type="dxa"/>
            <w:gridSpan w:val="5"/>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该项目为保障孔庙国子监博物馆日常办公、各类文化活动、社教活动和宣传工作的开展，满足日常办公上网需求，为大型文化展览活动提供网络接入支撑，还为来馆参观的公众提供免费无线互联网接入，通过使用手机</w:t>
            </w:r>
            <w:proofErr w:type="gramStart"/>
            <w:r w:rsidRPr="0044563C">
              <w:rPr>
                <w:rFonts w:ascii="宋体" w:hAnsi="宋体" w:cs="宋体" w:hint="eastAsia"/>
                <w:kern w:val="0"/>
                <w:sz w:val="20"/>
                <w:szCs w:val="20"/>
              </w:rPr>
              <w:t>微信导览</w:t>
            </w:r>
            <w:proofErr w:type="gramEnd"/>
            <w:r w:rsidRPr="0044563C">
              <w:rPr>
                <w:rFonts w:ascii="宋体" w:hAnsi="宋体" w:cs="宋体" w:hint="eastAsia"/>
                <w:kern w:val="0"/>
                <w:sz w:val="20"/>
                <w:szCs w:val="20"/>
              </w:rPr>
              <w:t>系统获取更多博物馆的服务和信息。</w:t>
            </w:r>
          </w:p>
        </w:tc>
        <w:tc>
          <w:tcPr>
            <w:tcW w:w="5300" w:type="dxa"/>
            <w:gridSpan w:val="4"/>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通过开展互联网接入工作，全年保障了孔庙国子监博物馆日常办公、各类文化活动、社教活动和宣传工作的开展，满足了日常办公上网需求，为大型文化展览活动提供网络接入支撑，还为来馆参观的公众提供免费无线互联网接入，通过使用手机</w:t>
            </w:r>
            <w:proofErr w:type="gramStart"/>
            <w:r w:rsidRPr="0044563C">
              <w:rPr>
                <w:rFonts w:ascii="宋体" w:hAnsi="宋体" w:cs="宋体" w:hint="eastAsia"/>
                <w:kern w:val="0"/>
                <w:sz w:val="20"/>
                <w:szCs w:val="20"/>
              </w:rPr>
              <w:t>微信导览</w:t>
            </w:r>
            <w:proofErr w:type="gramEnd"/>
            <w:r w:rsidRPr="0044563C">
              <w:rPr>
                <w:rFonts w:ascii="宋体" w:hAnsi="宋体" w:cs="宋体" w:hint="eastAsia"/>
                <w:kern w:val="0"/>
                <w:sz w:val="20"/>
                <w:szCs w:val="20"/>
              </w:rPr>
              <w:t>系统获取更多博物馆的服务和信息。</w:t>
            </w:r>
          </w:p>
        </w:tc>
      </w:tr>
      <w:tr w:rsidR="008A5835" w:rsidRPr="0044563C" w:rsidTr="00640A89">
        <w:trPr>
          <w:trHeight w:val="679"/>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绩效指标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一级指标</w:t>
            </w:r>
          </w:p>
        </w:tc>
        <w:tc>
          <w:tcPr>
            <w:tcW w:w="130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二级指标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三级指标</w:t>
            </w:r>
          </w:p>
        </w:tc>
        <w:tc>
          <w:tcPr>
            <w:tcW w:w="2940" w:type="dxa"/>
            <w:gridSpan w:val="2"/>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年度指标值(A)</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实际完成值</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分值</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得分</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偏差原因分析及改进措施</w:t>
            </w:r>
          </w:p>
        </w:tc>
      </w:tr>
      <w:tr w:rsidR="008A5835" w:rsidRPr="0044563C" w:rsidTr="00640A89">
        <w:trPr>
          <w:trHeight w:val="702"/>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产出指标</w:t>
            </w:r>
          </w:p>
        </w:tc>
        <w:tc>
          <w:tcPr>
            <w:tcW w:w="1300" w:type="dxa"/>
            <w:tcBorders>
              <w:top w:val="nil"/>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数量指标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带宽100MB</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100Mbps</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100Mbps</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1962"/>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质量指标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全年保障网络持续连接顺畅率</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≥99%</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全年保障网络持续连接顺畅</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偏差原因分析：相应支撑材料不够充分</w:t>
            </w:r>
            <w:r w:rsidRPr="0044563C">
              <w:rPr>
                <w:rFonts w:ascii="宋体" w:hAnsi="宋体" w:cs="宋体" w:hint="eastAsia"/>
                <w:kern w:val="0"/>
                <w:sz w:val="20"/>
                <w:szCs w:val="20"/>
              </w:rPr>
              <w:br/>
              <w:t>改进措施：今后将加强收集和留存相关绩效支撑材料</w:t>
            </w:r>
          </w:p>
        </w:tc>
      </w:tr>
      <w:tr w:rsidR="008A5835" w:rsidRPr="0044563C" w:rsidTr="00640A89">
        <w:trPr>
          <w:trHeight w:val="739"/>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网络接入故障率</w:t>
            </w:r>
          </w:p>
        </w:tc>
        <w:tc>
          <w:tcPr>
            <w:tcW w:w="2940" w:type="dxa"/>
            <w:gridSpan w:val="2"/>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≤3%</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679"/>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时效指标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截止2023年5月31日前一次性支付全年费用</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5月</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5月</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72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2023年3月底前完成项目立项</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3月</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2月</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11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tcBorders>
              <w:top w:val="single" w:sz="4" w:space="0" w:color="000000"/>
              <w:left w:val="nil"/>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成本指标</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经济成本指标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项目总预算</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≤11万</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10.38万元</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因供应商给予折扣，故节约资金0.62万元</w:t>
            </w:r>
          </w:p>
        </w:tc>
      </w:tr>
      <w:tr w:rsidR="008A5835" w:rsidRPr="0044563C" w:rsidTr="00640A89">
        <w:trPr>
          <w:trHeight w:val="210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效益指标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社会效益指标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系统运行保障率</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≥97%</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100%</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15.00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12.75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偏差原因分析：相应支撑材料不够充分</w:t>
            </w:r>
            <w:r w:rsidRPr="0044563C">
              <w:rPr>
                <w:rFonts w:ascii="宋体" w:hAnsi="宋体" w:cs="宋体" w:hint="eastAsia"/>
                <w:kern w:val="0"/>
                <w:sz w:val="20"/>
                <w:szCs w:val="20"/>
              </w:rPr>
              <w:br/>
              <w:t>改进措施：今后将加强相关绩效支撑材料收集、整理及归档工作</w:t>
            </w:r>
          </w:p>
        </w:tc>
      </w:tr>
      <w:tr w:rsidR="008A5835" w:rsidRPr="0044563C" w:rsidTr="00640A89">
        <w:trPr>
          <w:trHeight w:val="20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可持续影响指标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保障日常办公需求</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优</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得到保障</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15.00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12.75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偏差原因分析：相应支撑材料不够充分</w:t>
            </w:r>
            <w:r w:rsidRPr="0044563C">
              <w:rPr>
                <w:rFonts w:ascii="宋体" w:hAnsi="宋体" w:cs="宋体" w:hint="eastAsia"/>
                <w:kern w:val="0"/>
                <w:sz w:val="20"/>
                <w:szCs w:val="20"/>
              </w:rPr>
              <w:br/>
              <w:t>改进措施：今后将加强相关绩效支撑材料收集、整理及归档工作</w:t>
            </w:r>
          </w:p>
        </w:tc>
      </w:tr>
      <w:tr w:rsidR="008A5835" w:rsidRPr="0044563C" w:rsidTr="00640A89">
        <w:trPr>
          <w:trHeight w:val="683"/>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满意度指标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服务对象满意度指标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馆内办公人员满意度</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≥90%</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93%</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492"/>
        </w:trPr>
        <w:tc>
          <w:tcPr>
            <w:tcW w:w="9980"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总分：</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93.94 </w:t>
            </w:r>
          </w:p>
        </w:tc>
        <w:tc>
          <w:tcPr>
            <w:tcW w:w="14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 xml:space="preserve">　</w:t>
            </w:r>
          </w:p>
        </w:tc>
      </w:tr>
    </w:tbl>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tbl>
      <w:tblPr>
        <w:tblW w:w="14920" w:type="dxa"/>
        <w:tblInd w:w="93" w:type="dxa"/>
        <w:tblLook w:val="04A0" w:firstRow="1" w:lastRow="0" w:firstColumn="1" w:lastColumn="0" w:noHBand="0" w:noVBand="1"/>
      </w:tblPr>
      <w:tblGrid>
        <w:gridCol w:w="940"/>
        <w:gridCol w:w="1300"/>
        <w:gridCol w:w="1300"/>
        <w:gridCol w:w="2140"/>
        <w:gridCol w:w="1580"/>
        <w:gridCol w:w="1360"/>
        <w:gridCol w:w="1360"/>
        <w:gridCol w:w="1280"/>
        <w:gridCol w:w="1180"/>
        <w:gridCol w:w="2480"/>
      </w:tblGrid>
      <w:tr w:rsidR="008A5835" w:rsidRPr="0044563C" w:rsidTr="00640A89">
        <w:trPr>
          <w:trHeight w:val="405"/>
        </w:trPr>
        <w:tc>
          <w:tcPr>
            <w:tcW w:w="14920" w:type="dxa"/>
            <w:gridSpan w:val="10"/>
            <w:tcBorders>
              <w:top w:val="nil"/>
              <w:left w:val="nil"/>
              <w:bottom w:val="nil"/>
              <w:right w:val="nil"/>
            </w:tcBorders>
            <w:shd w:val="clear" w:color="auto" w:fill="auto"/>
            <w:vAlign w:val="center"/>
            <w:hideMark/>
          </w:tcPr>
          <w:p w:rsidR="008A5835" w:rsidRPr="0044563C" w:rsidRDefault="008A5835" w:rsidP="00640A89">
            <w:pPr>
              <w:widowControl/>
              <w:jc w:val="center"/>
              <w:rPr>
                <w:rFonts w:ascii="宋体" w:hAnsi="宋体" w:cs="宋体"/>
                <w:kern w:val="0"/>
                <w:sz w:val="28"/>
                <w:szCs w:val="28"/>
              </w:rPr>
            </w:pPr>
            <w:r w:rsidRPr="0044563C">
              <w:rPr>
                <w:rFonts w:ascii="宋体" w:hAnsi="宋体" w:cs="宋体" w:hint="eastAsia"/>
                <w:kern w:val="0"/>
                <w:sz w:val="28"/>
                <w:szCs w:val="28"/>
              </w:rPr>
              <w:lastRenderedPageBreak/>
              <w:t>项目支出绩效自评表</w:t>
            </w:r>
          </w:p>
        </w:tc>
      </w:tr>
      <w:tr w:rsidR="008A5835" w:rsidRPr="0044563C" w:rsidTr="00640A89">
        <w:trPr>
          <w:trHeight w:val="315"/>
        </w:trPr>
        <w:tc>
          <w:tcPr>
            <w:tcW w:w="14920" w:type="dxa"/>
            <w:gridSpan w:val="10"/>
            <w:tcBorders>
              <w:top w:val="nil"/>
              <w:left w:val="nil"/>
              <w:bottom w:val="nil"/>
              <w:right w:val="nil"/>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（2023年度）</w:t>
            </w:r>
          </w:p>
        </w:tc>
      </w:tr>
      <w:tr w:rsidR="008A5835" w:rsidRPr="0044563C" w:rsidTr="00640A89">
        <w:trPr>
          <w:trHeight w:val="240"/>
        </w:trPr>
        <w:tc>
          <w:tcPr>
            <w:tcW w:w="3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项目名称</w:t>
            </w:r>
          </w:p>
        </w:tc>
        <w:tc>
          <w:tcPr>
            <w:tcW w:w="11380" w:type="dxa"/>
            <w:gridSpan w:val="7"/>
            <w:tcBorders>
              <w:top w:val="single" w:sz="4" w:space="0" w:color="auto"/>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11000023T000002053708-孔庙国子监“太学寻迹”主题社教活动</w:t>
            </w:r>
          </w:p>
        </w:tc>
      </w:tr>
      <w:tr w:rsidR="008A5835" w:rsidRPr="0044563C" w:rsidTr="00640A89">
        <w:trPr>
          <w:trHeight w:val="240"/>
        </w:trPr>
        <w:tc>
          <w:tcPr>
            <w:tcW w:w="3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主管部门及代码</w:t>
            </w:r>
          </w:p>
        </w:tc>
        <w:tc>
          <w:tcPr>
            <w:tcW w:w="508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048-北京市文物局</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实施单位</w:t>
            </w:r>
          </w:p>
        </w:tc>
        <w:tc>
          <w:tcPr>
            <w:tcW w:w="4940" w:type="dxa"/>
            <w:gridSpan w:val="3"/>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048025-孔庙和国子监博物馆</w:t>
            </w:r>
          </w:p>
        </w:tc>
      </w:tr>
      <w:tr w:rsidR="008A5835" w:rsidRPr="0044563C" w:rsidTr="00640A89">
        <w:trPr>
          <w:trHeight w:val="240"/>
        </w:trPr>
        <w:tc>
          <w:tcPr>
            <w:tcW w:w="354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项目负责人</w:t>
            </w:r>
          </w:p>
        </w:tc>
        <w:tc>
          <w:tcPr>
            <w:tcW w:w="508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陈宇彤</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联系电话</w:t>
            </w:r>
          </w:p>
        </w:tc>
        <w:tc>
          <w:tcPr>
            <w:tcW w:w="494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13811376394</w:t>
            </w:r>
          </w:p>
        </w:tc>
      </w:tr>
      <w:tr w:rsidR="008A5835" w:rsidRPr="0044563C" w:rsidTr="00640A89">
        <w:trPr>
          <w:trHeight w:val="480"/>
        </w:trPr>
        <w:tc>
          <w:tcPr>
            <w:tcW w:w="35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项目资金（万元）</w:t>
            </w:r>
          </w:p>
        </w:tc>
        <w:tc>
          <w:tcPr>
            <w:tcW w:w="2140" w:type="dxa"/>
            <w:tcBorders>
              <w:top w:val="nil"/>
              <w:left w:val="nil"/>
              <w:bottom w:val="single" w:sz="4" w:space="0" w:color="auto"/>
              <w:right w:val="single" w:sz="4" w:space="0" w:color="auto"/>
              <w:tl2br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年初预算数</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全年预算数(B)</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全年执行数(C)</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分值（10分）</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执行率(C/B)</w:t>
            </w:r>
          </w:p>
        </w:tc>
        <w:tc>
          <w:tcPr>
            <w:tcW w:w="24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得分</w:t>
            </w:r>
          </w:p>
        </w:tc>
      </w:tr>
      <w:tr w:rsidR="008A5835" w:rsidRPr="0044563C" w:rsidTr="00640A89">
        <w:trPr>
          <w:trHeight w:val="240"/>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年度资金总额：</w:t>
            </w:r>
          </w:p>
        </w:tc>
        <w:tc>
          <w:tcPr>
            <w:tcW w:w="15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34.085000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34.085000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33.880000 </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99.40%</w:t>
            </w:r>
          </w:p>
        </w:tc>
        <w:tc>
          <w:tcPr>
            <w:tcW w:w="24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9.94 </w:t>
            </w:r>
          </w:p>
        </w:tc>
      </w:tr>
      <w:tr w:rsidR="008A5835" w:rsidRPr="0044563C" w:rsidTr="00640A89">
        <w:trPr>
          <w:trHeight w:val="240"/>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其中:当年财政拨款</w:t>
            </w:r>
          </w:p>
        </w:tc>
        <w:tc>
          <w:tcPr>
            <w:tcW w:w="15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24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r>
      <w:tr w:rsidR="008A5835" w:rsidRPr="0044563C" w:rsidTr="00640A89">
        <w:trPr>
          <w:trHeight w:val="240"/>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上年结转资金</w:t>
            </w:r>
          </w:p>
        </w:tc>
        <w:tc>
          <w:tcPr>
            <w:tcW w:w="15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24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r>
      <w:tr w:rsidR="008A5835" w:rsidRPr="0044563C" w:rsidTr="00640A89">
        <w:trPr>
          <w:trHeight w:val="240"/>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其他资金</w:t>
            </w:r>
          </w:p>
        </w:tc>
        <w:tc>
          <w:tcPr>
            <w:tcW w:w="15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34.085000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34.085000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33.880000 </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99.40%</w:t>
            </w:r>
          </w:p>
        </w:tc>
        <w:tc>
          <w:tcPr>
            <w:tcW w:w="24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9.94 </w:t>
            </w:r>
          </w:p>
        </w:tc>
      </w:tr>
      <w:tr w:rsidR="008A5835" w:rsidRPr="0044563C" w:rsidTr="00640A89">
        <w:trPr>
          <w:trHeight w:val="240"/>
        </w:trPr>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年度总体目标</w:t>
            </w:r>
          </w:p>
        </w:tc>
        <w:tc>
          <w:tcPr>
            <w:tcW w:w="7680" w:type="dxa"/>
            <w:gridSpan w:val="5"/>
            <w:tcBorders>
              <w:top w:val="single" w:sz="4" w:space="0" w:color="auto"/>
              <w:left w:val="nil"/>
              <w:bottom w:val="single" w:sz="4" w:space="0" w:color="auto"/>
              <w:right w:val="nil"/>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预期目标</w:t>
            </w:r>
          </w:p>
        </w:tc>
        <w:tc>
          <w:tcPr>
            <w:tcW w:w="6300" w:type="dxa"/>
            <w:gridSpan w:val="4"/>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实际完成情况</w:t>
            </w:r>
          </w:p>
        </w:tc>
      </w:tr>
      <w:tr w:rsidR="008A5835" w:rsidRPr="0044563C" w:rsidTr="00640A89">
        <w:trPr>
          <w:trHeight w:val="1782"/>
        </w:trPr>
        <w:tc>
          <w:tcPr>
            <w:tcW w:w="94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7680" w:type="dxa"/>
            <w:gridSpan w:val="5"/>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太学寻迹”是孔庙和国子监博物馆原创主题社教活动品牌。我馆立足博物馆社会教育职能，依托孔庙国子监丰富的传统文化资源，通过形式多样的线上线下活动，主体面向青少年观众群体宣传中华优秀传统文化， 立德树人。本预算项目主题活动本周突出特色、深化内容、打造更符合新时期教育特色产品的原则，策划制作更受青少年观众喜爱的活动产品。从可复用、新形式、新技术等方面入手，打造独具孔庙国子监文化特色的社教活动，努力发挥博物馆社教宣传的社会职能。</w:t>
            </w:r>
          </w:p>
        </w:tc>
        <w:tc>
          <w:tcPr>
            <w:tcW w:w="6300" w:type="dxa"/>
            <w:gridSpan w:val="4"/>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“太学寻迹”是孔庙和国子监博物馆原创主题社教活动品牌。依托孔庙国子监丰富的传统文化资源，通过形式多样的线上线下活动，主体面向青少年观众群体宣传中华优秀传统文化， 立德树人。本预算项目主题活动本周突出特色、深化内容、打造更符合新时期教育特色产品的原则，策划制作更受青少年观众喜爱的活动产品。从可复用、新形式、新技术等方面入手，打造独具孔庙国子监文化特色的社教活动，努力发挥博物馆社教宣传的社会职能。</w:t>
            </w:r>
          </w:p>
        </w:tc>
      </w:tr>
      <w:tr w:rsidR="008A5835" w:rsidRPr="0044563C" w:rsidTr="00640A89">
        <w:trPr>
          <w:trHeight w:val="240"/>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绩效指标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一级指标</w:t>
            </w:r>
          </w:p>
        </w:tc>
        <w:tc>
          <w:tcPr>
            <w:tcW w:w="130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二级指标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三级指标</w:t>
            </w:r>
          </w:p>
        </w:tc>
        <w:tc>
          <w:tcPr>
            <w:tcW w:w="2940" w:type="dxa"/>
            <w:gridSpan w:val="2"/>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年度指标值(A)</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实际完成值</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分值</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得分</w:t>
            </w:r>
          </w:p>
        </w:tc>
        <w:tc>
          <w:tcPr>
            <w:tcW w:w="2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偏差原因分析及改进措施</w:t>
            </w:r>
          </w:p>
        </w:tc>
      </w:tr>
      <w:tr w:rsidR="008A5835" w:rsidRPr="0044563C" w:rsidTr="00640A89">
        <w:trPr>
          <w:trHeight w:val="2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产出指标</w:t>
            </w:r>
          </w:p>
        </w:tc>
        <w:tc>
          <w:tcPr>
            <w:tcW w:w="1300" w:type="dxa"/>
            <w:vMerge w:val="restart"/>
            <w:tcBorders>
              <w:top w:val="nil"/>
              <w:left w:val="single" w:sz="4" w:space="0" w:color="auto"/>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数量指标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主题课件制作</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2套</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2套</w:t>
            </w:r>
          </w:p>
        </w:tc>
        <w:tc>
          <w:tcPr>
            <w:tcW w:w="1280" w:type="dxa"/>
            <w:tcBorders>
              <w:top w:val="nil"/>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2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14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活动参与人数</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≥80人</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78人</w:t>
            </w:r>
          </w:p>
        </w:tc>
        <w:tc>
          <w:tcPr>
            <w:tcW w:w="12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4.00 </w:t>
            </w:r>
          </w:p>
        </w:tc>
        <w:tc>
          <w:tcPr>
            <w:tcW w:w="2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偏差原因分析：因有两位人员未到场，导致未按照计划完成</w:t>
            </w:r>
            <w:r w:rsidRPr="0044563C">
              <w:rPr>
                <w:rFonts w:ascii="宋体" w:hAnsi="宋体" w:cs="宋体" w:hint="eastAsia"/>
                <w:kern w:val="0"/>
                <w:sz w:val="20"/>
                <w:szCs w:val="20"/>
              </w:rPr>
              <w:br/>
              <w:t>改进措施：以后加强项目预算绩效管理工作，加强目标编制的合理性及风险预估</w:t>
            </w:r>
          </w:p>
        </w:tc>
      </w:tr>
      <w:tr w:rsidR="008A5835" w:rsidRPr="0044563C" w:rsidTr="00640A89">
        <w:trPr>
          <w:trHeight w:val="2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主题社教活动场次</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4场</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4场</w:t>
            </w:r>
          </w:p>
        </w:tc>
        <w:tc>
          <w:tcPr>
            <w:tcW w:w="12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180" w:type="dxa"/>
            <w:tcBorders>
              <w:top w:val="nil"/>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2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120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宣传次数</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≥4次</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8次</w:t>
            </w:r>
          </w:p>
        </w:tc>
        <w:tc>
          <w:tcPr>
            <w:tcW w:w="12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4.00 </w:t>
            </w:r>
          </w:p>
        </w:tc>
        <w:tc>
          <w:tcPr>
            <w:tcW w:w="2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偏差原因分析：年初指标值设置偏低</w:t>
            </w:r>
            <w:r w:rsidRPr="0044563C">
              <w:rPr>
                <w:rFonts w:ascii="宋体" w:hAnsi="宋体" w:cs="宋体" w:hint="eastAsia"/>
                <w:kern w:val="0"/>
                <w:sz w:val="20"/>
                <w:szCs w:val="20"/>
              </w:rPr>
              <w:br/>
              <w:t>改进措施：以后加强项目预算绩效管理工作，合理编制项目绩效目标</w:t>
            </w:r>
          </w:p>
        </w:tc>
      </w:tr>
      <w:tr w:rsidR="008A5835" w:rsidRPr="0044563C" w:rsidTr="00640A89">
        <w:trPr>
          <w:trHeight w:val="2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质量指标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活动完成率</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≥95%</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2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4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时效指标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截止2023年6月30日前资金支付进度</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≥50%</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59.64%</w:t>
            </w:r>
          </w:p>
        </w:tc>
        <w:tc>
          <w:tcPr>
            <w:tcW w:w="1280" w:type="dxa"/>
            <w:tcBorders>
              <w:top w:val="nil"/>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2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96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截止2023年12月31日前资金支付进度</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100%</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99.40%</w:t>
            </w:r>
          </w:p>
        </w:tc>
        <w:tc>
          <w:tcPr>
            <w:tcW w:w="12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1.50 </w:t>
            </w:r>
          </w:p>
        </w:tc>
        <w:tc>
          <w:tcPr>
            <w:tcW w:w="2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因履行采购程序，比选报价低于预算金额，节约资金0.205万元，以后加强预算编制的合理性</w:t>
            </w:r>
          </w:p>
        </w:tc>
      </w:tr>
      <w:tr w:rsidR="008A5835" w:rsidRPr="0044563C" w:rsidTr="00640A89">
        <w:trPr>
          <w:trHeight w:val="522"/>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2023年12月31日前完成</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12月</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12月</w:t>
            </w:r>
          </w:p>
        </w:tc>
        <w:tc>
          <w:tcPr>
            <w:tcW w:w="12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180" w:type="dxa"/>
            <w:tcBorders>
              <w:top w:val="nil"/>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2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60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2023年11月30日前完成项目实施阶段</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11月</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11月</w:t>
            </w:r>
          </w:p>
        </w:tc>
        <w:tc>
          <w:tcPr>
            <w:tcW w:w="12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1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2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559"/>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2023年3月31日前完成项目立</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3月</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3月</w:t>
            </w:r>
          </w:p>
        </w:tc>
        <w:tc>
          <w:tcPr>
            <w:tcW w:w="12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180" w:type="dxa"/>
            <w:tcBorders>
              <w:top w:val="single" w:sz="4" w:space="0" w:color="auto"/>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2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402"/>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single" w:sz="4" w:space="0" w:color="000000"/>
              <w:left w:val="single" w:sz="4" w:space="0" w:color="auto"/>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成本指标</w:t>
            </w:r>
          </w:p>
        </w:tc>
        <w:tc>
          <w:tcPr>
            <w:tcW w:w="1300" w:type="dxa"/>
            <w:vMerge w:val="restart"/>
            <w:tcBorders>
              <w:top w:val="nil"/>
              <w:left w:val="single" w:sz="4" w:space="0" w:color="auto"/>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经济成本指标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主题课件制作</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≤23.585万元</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23.48万元</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2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402"/>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single" w:sz="4" w:space="0" w:color="000000"/>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主题社教活动</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≤10.5万元</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10.4万元</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2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72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single" w:sz="4" w:space="0" w:color="000000"/>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项目总预算</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≤34.085万元</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33.88万元</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2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因履行政府采购程序，比选报价低于预算金额，节约资金0.205万元</w:t>
            </w:r>
          </w:p>
        </w:tc>
      </w:tr>
      <w:tr w:rsidR="008A5835" w:rsidRPr="0044563C" w:rsidTr="00640A89">
        <w:trPr>
          <w:trHeight w:val="120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效益指标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社会效益指标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发挥博物馆社教宣传职能提升传统文化社会影响力</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优</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进一步宣传了博物馆的社教职能，弘扬了传统文化</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8.50 </w:t>
            </w:r>
          </w:p>
        </w:tc>
        <w:tc>
          <w:tcPr>
            <w:tcW w:w="2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偏差原因分析：相应支撑材料不够充分</w:t>
            </w:r>
            <w:r w:rsidRPr="0044563C">
              <w:rPr>
                <w:rFonts w:ascii="宋体" w:hAnsi="宋体" w:cs="宋体" w:hint="eastAsia"/>
                <w:kern w:val="0"/>
                <w:sz w:val="20"/>
                <w:szCs w:val="20"/>
              </w:rPr>
              <w:br/>
              <w:t>改进措施：今后将加强相关绩效支撑材料收集、整理及归档工作</w:t>
            </w:r>
          </w:p>
        </w:tc>
      </w:tr>
      <w:tr w:rsidR="008A5835" w:rsidRPr="0044563C" w:rsidTr="00640A89">
        <w:trPr>
          <w:trHeight w:val="4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可持续影响</w:t>
            </w:r>
            <w:r w:rsidRPr="0044563C">
              <w:rPr>
                <w:rFonts w:ascii="宋体" w:hAnsi="宋体" w:cs="宋体" w:hint="eastAsia"/>
                <w:kern w:val="0"/>
                <w:sz w:val="20"/>
                <w:szCs w:val="20"/>
              </w:rPr>
              <w:lastRenderedPageBreak/>
              <w:t>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lastRenderedPageBreak/>
              <w:t>活动年限</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≤1年</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1年</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2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96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满意度指标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服务对象满意度指标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观众满意度</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≥95%</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94%</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8.00 </w:t>
            </w:r>
          </w:p>
        </w:tc>
        <w:tc>
          <w:tcPr>
            <w:tcW w:w="2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偏差原因分析：观众满意度未按计划完成</w:t>
            </w:r>
            <w:r w:rsidRPr="0044563C">
              <w:rPr>
                <w:rFonts w:ascii="宋体" w:hAnsi="宋体" w:cs="宋体" w:hint="eastAsia"/>
                <w:kern w:val="0"/>
                <w:sz w:val="20"/>
                <w:szCs w:val="20"/>
              </w:rPr>
              <w:br/>
              <w:t>改进措施：对于满足观众文化需求方面仍有进步的空间</w:t>
            </w:r>
          </w:p>
        </w:tc>
      </w:tr>
      <w:tr w:rsidR="008A5835" w:rsidRPr="0044563C" w:rsidTr="00640A89">
        <w:trPr>
          <w:trHeight w:val="462"/>
        </w:trPr>
        <w:tc>
          <w:tcPr>
            <w:tcW w:w="9980"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总分：</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93.94 </w:t>
            </w:r>
          </w:p>
        </w:tc>
        <w:tc>
          <w:tcPr>
            <w:tcW w:w="24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 xml:space="preserve">　</w:t>
            </w:r>
          </w:p>
        </w:tc>
      </w:tr>
    </w:tbl>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tbl>
      <w:tblPr>
        <w:tblW w:w="13820" w:type="dxa"/>
        <w:tblInd w:w="93" w:type="dxa"/>
        <w:tblLook w:val="04A0" w:firstRow="1" w:lastRow="0" w:firstColumn="1" w:lastColumn="0" w:noHBand="0" w:noVBand="1"/>
      </w:tblPr>
      <w:tblGrid>
        <w:gridCol w:w="940"/>
        <w:gridCol w:w="1300"/>
        <w:gridCol w:w="1300"/>
        <w:gridCol w:w="2140"/>
        <w:gridCol w:w="1580"/>
        <w:gridCol w:w="1360"/>
        <w:gridCol w:w="1360"/>
        <w:gridCol w:w="1280"/>
        <w:gridCol w:w="1180"/>
        <w:gridCol w:w="1380"/>
      </w:tblGrid>
      <w:tr w:rsidR="008A5835" w:rsidRPr="0044563C" w:rsidTr="00640A89">
        <w:trPr>
          <w:trHeight w:val="405"/>
        </w:trPr>
        <w:tc>
          <w:tcPr>
            <w:tcW w:w="13820" w:type="dxa"/>
            <w:gridSpan w:val="10"/>
            <w:tcBorders>
              <w:top w:val="nil"/>
              <w:left w:val="nil"/>
              <w:bottom w:val="nil"/>
              <w:right w:val="nil"/>
            </w:tcBorders>
            <w:shd w:val="clear" w:color="auto" w:fill="auto"/>
            <w:vAlign w:val="center"/>
            <w:hideMark/>
          </w:tcPr>
          <w:p w:rsidR="008A5835" w:rsidRPr="0044563C" w:rsidRDefault="008A5835" w:rsidP="00640A89">
            <w:pPr>
              <w:widowControl/>
              <w:jc w:val="center"/>
              <w:rPr>
                <w:rFonts w:ascii="宋体" w:hAnsi="宋体" w:cs="宋体"/>
                <w:kern w:val="0"/>
                <w:sz w:val="28"/>
                <w:szCs w:val="28"/>
              </w:rPr>
            </w:pPr>
            <w:r w:rsidRPr="0044563C">
              <w:rPr>
                <w:rFonts w:ascii="宋体" w:hAnsi="宋体" w:cs="宋体" w:hint="eastAsia"/>
                <w:kern w:val="0"/>
                <w:sz w:val="28"/>
                <w:szCs w:val="28"/>
              </w:rPr>
              <w:lastRenderedPageBreak/>
              <w:t>项目支出绩效自评表</w:t>
            </w:r>
          </w:p>
        </w:tc>
      </w:tr>
      <w:tr w:rsidR="008A5835" w:rsidRPr="0044563C" w:rsidTr="00640A89">
        <w:trPr>
          <w:trHeight w:val="315"/>
        </w:trPr>
        <w:tc>
          <w:tcPr>
            <w:tcW w:w="13820" w:type="dxa"/>
            <w:gridSpan w:val="10"/>
            <w:tcBorders>
              <w:top w:val="nil"/>
              <w:left w:val="nil"/>
              <w:bottom w:val="nil"/>
              <w:right w:val="nil"/>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（2023年度）</w:t>
            </w:r>
          </w:p>
        </w:tc>
      </w:tr>
      <w:tr w:rsidR="008A5835" w:rsidRPr="0044563C" w:rsidTr="00640A89">
        <w:trPr>
          <w:trHeight w:val="240"/>
        </w:trPr>
        <w:tc>
          <w:tcPr>
            <w:tcW w:w="3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项目名称</w:t>
            </w:r>
          </w:p>
        </w:tc>
        <w:tc>
          <w:tcPr>
            <w:tcW w:w="10280" w:type="dxa"/>
            <w:gridSpan w:val="7"/>
            <w:tcBorders>
              <w:top w:val="single" w:sz="4" w:space="0" w:color="auto"/>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11000023T000002053854-孔庙国子监参观预约系统服务费</w:t>
            </w:r>
          </w:p>
        </w:tc>
      </w:tr>
      <w:tr w:rsidR="008A5835" w:rsidRPr="0044563C" w:rsidTr="00640A89">
        <w:trPr>
          <w:trHeight w:val="240"/>
        </w:trPr>
        <w:tc>
          <w:tcPr>
            <w:tcW w:w="3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主管部门及代码</w:t>
            </w:r>
          </w:p>
        </w:tc>
        <w:tc>
          <w:tcPr>
            <w:tcW w:w="508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048-北京市文物局</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实施单位</w:t>
            </w:r>
          </w:p>
        </w:tc>
        <w:tc>
          <w:tcPr>
            <w:tcW w:w="3840" w:type="dxa"/>
            <w:gridSpan w:val="3"/>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048025-孔庙和国子监博物馆</w:t>
            </w:r>
          </w:p>
        </w:tc>
      </w:tr>
      <w:tr w:rsidR="008A5835" w:rsidRPr="0044563C" w:rsidTr="00640A89">
        <w:trPr>
          <w:trHeight w:val="240"/>
        </w:trPr>
        <w:tc>
          <w:tcPr>
            <w:tcW w:w="354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项目负责人</w:t>
            </w:r>
          </w:p>
        </w:tc>
        <w:tc>
          <w:tcPr>
            <w:tcW w:w="508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燕京</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联系电话</w:t>
            </w:r>
          </w:p>
        </w:tc>
        <w:tc>
          <w:tcPr>
            <w:tcW w:w="384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13621185763</w:t>
            </w:r>
          </w:p>
        </w:tc>
      </w:tr>
      <w:tr w:rsidR="008A5835" w:rsidRPr="0044563C" w:rsidTr="00640A89">
        <w:trPr>
          <w:trHeight w:val="480"/>
        </w:trPr>
        <w:tc>
          <w:tcPr>
            <w:tcW w:w="35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项目资金（万元）</w:t>
            </w:r>
          </w:p>
        </w:tc>
        <w:tc>
          <w:tcPr>
            <w:tcW w:w="2140" w:type="dxa"/>
            <w:tcBorders>
              <w:top w:val="nil"/>
              <w:left w:val="nil"/>
              <w:bottom w:val="single" w:sz="4" w:space="0" w:color="auto"/>
              <w:right w:val="single" w:sz="4" w:space="0" w:color="auto"/>
              <w:tl2br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年初预算数</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全年预算数(B)</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全年执行数(C)</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分值（10分）</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执行率(C/B)</w:t>
            </w:r>
          </w:p>
        </w:tc>
        <w:tc>
          <w:tcPr>
            <w:tcW w:w="13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得分</w:t>
            </w:r>
          </w:p>
        </w:tc>
      </w:tr>
      <w:tr w:rsidR="008A5835" w:rsidRPr="0044563C" w:rsidTr="00640A89">
        <w:trPr>
          <w:trHeight w:val="240"/>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年度资金总额：</w:t>
            </w:r>
          </w:p>
        </w:tc>
        <w:tc>
          <w:tcPr>
            <w:tcW w:w="15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40.000000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40.000000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39.560000 </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98.90%</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9.89</w:t>
            </w:r>
          </w:p>
        </w:tc>
      </w:tr>
      <w:tr w:rsidR="008A5835" w:rsidRPr="0044563C" w:rsidTr="00640A89">
        <w:trPr>
          <w:trHeight w:val="240"/>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其中:当年财政拨款</w:t>
            </w:r>
          </w:p>
        </w:tc>
        <w:tc>
          <w:tcPr>
            <w:tcW w:w="15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r>
      <w:tr w:rsidR="008A5835" w:rsidRPr="0044563C" w:rsidTr="00640A89">
        <w:trPr>
          <w:trHeight w:val="240"/>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上年结转资金</w:t>
            </w:r>
          </w:p>
        </w:tc>
        <w:tc>
          <w:tcPr>
            <w:tcW w:w="15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r>
      <w:tr w:rsidR="008A5835" w:rsidRPr="0044563C" w:rsidTr="00640A89">
        <w:trPr>
          <w:trHeight w:val="240"/>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其他资金</w:t>
            </w:r>
          </w:p>
        </w:tc>
        <w:tc>
          <w:tcPr>
            <w:tcW w:w="15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40.000000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40.000000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39.560000 </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98.90%</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9.89</w:t>
            </w:r>
          </w:p>
        </w:tc>
      </w:tr>
      <w:tr w:rsidR="008A5835" w:rsidRPr="0044563C" w:rsidTr="00640A89">
        <w:trPr>
          <w:trHeight w:val="240"/>
        </w:trPr>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年度总体目标</w:t>
            </w:r>
          </w:p>
        </w:tc>
        <w:tc>
          <w:tcPr>
            <w:tcW w:w="7680" w:type="dxa"/>
            <w:gridSpan w:val="5"/>
            <w:tcBorders>
              <w:top w:val="single" w:sz="4" w:space="0" w:color="auto"/>
              <w:left w:val="nil"/>
              <w:bottom w:val="single" w:sz="4" w:space="0" w:color="auto"/>
              <w:right w:val="nil"/>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预期目标</w:t>
            </w:r>
          </w:p>
        </w:tc>
        <w:tc>
          <w:tcPr>
            <w:tcW w:w="5200" w:type="dxa"/>
            <w:gridSpan w:val="4"/>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实际完成情况</w:t>
            </w:r>
          </w:p>
        </w:tc>
      </w:tr>
      <w:tr w:rsidR="008A5835" w:rsidRPr="0044563C" w:rsidTr="00640A89">
        <w:trPr>
          <w:trHeight w:val="1362"/>
        </w:trPr>
        <w:tc>
          <w:tcPr>
            <w:tcW w:w="94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7680" w:type="dxa"/>
            <w:gridSpan w:val="5"/>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结合博物馆预约服务需要，我馆拟进一步增强线上预约服务能力，增加及优化各环节功能，提升服务质量及服务效率。项目包括增加线上团队预约、提升窗口服务功能、增强综合票务服务后台管理，系统采用网络架构，运营托管模式，以及</w:t>
            </w:r>
            <w:proofErr w:type="gramStart"/>
            <w:r w:rsidRPr="0044563C">
              <w:rPr>
                <w:rFonts w:ascii="宋体" w:hAnsi="宋体" w:cs="宋体" w:hint="eastAsia"/>
                <w:kern w:val="0"/>
                <w:sz w:val="20"/>
                <w:szCs w:val="20"/>
              </w:rPr>
              <w:t>运营方年服务</w:t>
            </w:r>
            <w:proofErr w:type="gramEnd"/>
            <w:r w:rsidRPr="0044563C">
              <w:rPr>
                <w:rFonts w:ascii="宋体" w:hAnsi="宋体" w:cs="宋体" w:hint="eastAsia"/>
                <w:kern w:val="0"/>
                <w:sz w:val="20"/>
                <w:szCs w:val="20"/>
              </w:rPr>
              <w:t>保障系统安全性及系统正常运维。本项目拟完成散客预约功能细化、团队预约、窗口服务优化、检票终端优化及配套综合平台服务。</w:t>
            </w:r>
          </w:p>
        </w:tc>
        <w:tc>
          <w:tcPr>
            <w:tcW w:w="5200" w:type="dxa"/>
            <w:gridSpan w:val="4"/>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通过进一步优化参观预约系统，增加线上团队预约、提升窗口服务功能、增强综合票务服务后台管理底工作。系统采用网络架构，运营托管模式，以及</w:t>
            </w:r>
            <w:proofErr w:type="gramStart"/>
            <w:r w:rsidRPr="0044563C">
              <w:rPr>
                <w:rFonts w:ascii="宋体" w:hAnsi="宋体" w:cs="宋体" w:hint="eastAsia"/>
                <w:kern w:val="0"/>
                <w:sz w:val="20"/>
                <w:szCs w:val="20"/>
              </w:rPr>
              <w:t>运营方年服务</w:t>
            </w:r>
            <w:proofErr w:type="gramEnd"/>
            <w:r w:rsidRPr="0044563C">
              <w:rPr>
                <w:rFonts w:ascii="宋体" w:hAnsi="宋体" w:cs="宋体" w:hint="eastAsia"/>
                <w:kern w:val="0"/>
                <w:sz w:val="20"/>
                <w:szCs w:val="20"/>
              </w:rPr>
              <w:t>等保障系统安全性及系统正常运维。</w:t>
            </w:r>
          </w:p>
        </w:tc>
      </w:tr>
      <w:tr w:rsidR="008A5835" w:rsidRPr="0044563C" w:rsidTr="00640A89">
        <w:trPr>
          <w:trHeight w:val="480"/>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绩效指标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一级指标</w:t>
            </w:r>
          </w:p>
        </w:tc>
        <w:tc>
          <w:tcPr>
            <w:tcW w:w="130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二级指标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三级指标</w:t>
            </w:r>
          </w:p>
        </w:tc>
        <w:tc>
          <w:tcPr>
            <w:tcW w:w="2940" w:type="dxa"/>
            <w:gridSpan w:val="2"/>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年度指标值(A)</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实际完成值</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分值</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得分</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偏差原因分析及改进措施</w:t>
            </w:r>
          </w:p>
        </w:tc>
      </w:tr>
      <w:tr w:rsidR="008A5835" w:rsidRPr="0044563C" w:rsidTr="00640A89">
        <w:trPr>
          <w:trHeight w:val="2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产出指标</w:t>
            </w:r>
          </w:p>
        </w:tc>
        <w:tc>
          <w:tcPr>
            <w:tcW w:w="1300" w:type="dxa"/>
            <w:tcBorders>
              <w:top w:val="nil"/>
              <w:left w:val="nil"/>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数量指标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满足需求的服务系统</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1套</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1套</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15.00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15.00 </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2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质量指标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系统服务稳定</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≥90%</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100%</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15.00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15.00 </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240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时效指标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截止2023年12月31日资金支付进度</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100%</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98.90%</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1.50 </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偏差原因分析：因履行政府采购程序，比选报价低于预算金额，节约资金0.44万元</w:t>
            </w:r>
            <w:r w:rsidRPr="0044563C">
              <w:rPr>
                <w:rFonts w:ascii="宋体" w:hAnsi="宋体" w:cs="宋体" w:hint="eastAsia"/>
                <w:kern w:val="0"/>
                <w:sz w:val="20"/>
                <w:szCs w:val="20"/>
              </w:rPr>
              <w:br/>
              <w:t>改进措施：以后加强预算编制的合理性</w:t>
            </w:r>
          </w:p>
        </w:tc>
      </w:tr>
      <w:tr w:rsidR="008A5835" w:rsidRPr="0044563C" w:rsidTr="00640A89">
        <w:trPr>
          <w:trHeight w:val="4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2023年12月31日前完成项目</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12月</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12月</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4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2023年11月30日前完成项目实施阶段</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11月</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11月</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4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截止2023年6月30日资金</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≥70%</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70%</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2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2023年4月30日前完成</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4月</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4月</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120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single" w:sz="4" w:space="0" w:color="000000"/>
              <w:left w:val="single" w:sz="4" w:space="0" w:color="auto"/>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成本指标</w:t>
            </w:r>
          </w:p>
        </w:tc>
        <w:tc>
          <w:tcPr>
            <w:tcW w:w="13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经济成本指标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项目总预算</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≤40万元</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39.56万元</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因履行采购程序，比选报价低于预算金额，节约资金0.44万元</w:t>
            </w:r>
          </w:p>
        </w:tc>
      </w:tr>
      <w:tr w:rsidR="008A5835" w:rsidRPr="0044563C" w:rsidTr="00640A89">
        <w:trPr>
          <w:trHeight w:val="2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single" w:sz="4" w:space="0" w:color="000000"/>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系统运维费</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≤20万元</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19.66万元</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2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single" w:sz="4" w:space="0" w:color="000000"/>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系统软件更新</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≤20万元</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19.9万元</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192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效益指标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社会效益指标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满足公众预约服务需求</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优</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公众预约服务需求得到满足</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15.00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12.75 </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偏差原因分析：相应支撑材料不够充分</w:t>
            </w:r>
            <w:r w:rsidRPr="0044563C">
              <w:rPr>
                <w:rFonts w:ascii="宋体" w:hAnsi="宋体" w:cs="宋体" w:hint="eastAsia"/>
                <w:kern w:val="0"/>
                <w:sz w:val="20"/>
                <w:szCs w:val="20"/>
              </w:rPr>
              <w:br/>
              <w:t>改进措施：今后将加强相关绩效支撑材料收集、整理及归档工作</w:t>
            </w:r>
          </w:p>
        </w:tc>
      </w:tr>
      <w:tr w:rsidR="008A5835" w:rsidRPr="0044563C" w:rsidTr="00640A89">
        <w:trPr>
          <w:trHeight w:val="4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可持续影响指标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服务年限</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1年</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1年</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216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满意度指标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服务对象满意度指标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使用人员满意度</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≥95%</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100%</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8.00 </w:t>
            </w:r>
          </w:p>
        </w:tc>
        <w:tc>
          <w:tcPr>
            <w:tcW w:w="13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偏差原因分析：满意度样本量偏低，调查对象针对性不足</w:t>
            </w:r>
            <w:r w:rsidRPr="0044563C">
              <w:rPr>
                <w:rFonts w:ascii="宋体" w:hAnsi="宋体" w:cs="宋体" w:hint="eastAsia"/>
                <w:kern w:val="0"/>
                <w:sz w:val="20"/>
                <w:szCs w:val="20"/>
              </w:rPr>
              <w:br/>
              <w:t>改进措施：今后将加强收集和留存相关绩效支撑材料</w:t>
            </w:r>
          </w:p>
        </w:tc>
      </w:tr>
      <w:tr w:rsidR="008A5835" w:rsidRPr="0044563C" w:rsidTr="00640A89">
        <w:trPr>
          <w:trHeight w:val="420"/>
        </w:trPr>
        <w:tc>
          <w:tcPr>
            <w:tcW w:w="9980"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总分：</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95.14 </w:t>
            </w:r>
          </w:p>
        </w:tc>
        <w:tc>
          <w:tcPr>
            <w:tcW w:w="13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 xml:space="preserve">　</w:t>
            </w:r>
          </w:p>
        </w:tc>
      </w:tr>
    </w:tbl>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p w:rsidR="008A5835" w:rsidRDefault="008A5835" w:rsidP="008A5835">
      <w:pPr>
        <w:pStyle w:val="a0"/>
        <w:ind w:firstLine="420"/>
      </w:pPr>
    </w:p>
    <w:tbl>
      <w:tblPr>
        <w:tblW w:w="13920" w:type="dxa"/>
        <w:tblInd w:w="93" w:type="dxa"/>
        <w:tblLook w:val="04A0" w:firstRow="1" w:lastRow="0" w:firstColumn="1" w:lastColumn="0" w:noHBand="0" w:noVBand="1"/>
      </w:tblPr>
      <w:tblGrid>
        <w:gridCol w:w="940"/>
        <w:gridCol w:w="1300"/>
        <w:gridCol w:w="1300"/>
        <w:gridCol w:w="2140"/>
        <w:gridCol w:w="1580"/>
        <w:gridCol w:w="1360"/>
        <w:gridCol w:w="1360"/>
        <w:gridCol w:w="1280"/>
        <w:gridCol w:w="1180"/>
        <w:gridCol w:w="1480"/>
      </w:tblGrid>
      <w:tr w:rsidR="008A5835" w:rsidRPr="0044563C" w:rsidTr="00640A89">
        <w:trPr>
          <w:trHeight w:val="405"/>
        </w:trPr>
        <w:tc>
          <w:tcPr>
            <w:tcW w:w="13920" w:type="dxa"/>
            <w:gridSpan w:val="10"/>
            <w:tcBorders>
              <w:top w:val="nil"/>
              <w:left w:val="nil"/>
              <w:bottom w:val="nil"/>
              <w:right w:val="nil"/>
            </w:tcBorders>
            <w:shd w:val="clear" w:color="auto" w:fill="auto"/>
            <w:vAlign w:val="center"/>
            <w:hideMark/>
          </w:tcPr>
          <w:p w:rsidR="008A5835" w:rsidRPr="0044563C" w:rsidRDefault="008A5835" w:rsidP="00640A89">
            <w:pPr>
              <w:widowControl/>
              <w:jc w:val="center"/>
              <w:rPr>
                <w:rFonts w:ascii="宋体" w:hAnsi="宋体" w:cs="宋体"/>
                <w:kern w:val="0"/>
                <w:sz w:val="28"/>
                <w:szCs w:val="28"/>
              </w:rPr>
            </w:pPr>
            <w:r w:rsidRPr="0044563C">
              <w:rPr>
                <w:rFonts w:ascii="宋体" w:hAnsi="宋体" w:cs="宋体" w:hint="eastAsia"/>
                <w:kern w:val="0"/>
                <w:sz w:val="28"/>
                <w:szCs w:val="28"/>
              </w:rPr>
              <w:lastRenderedPageBreak/>
              <w:t>项目支出绩效自评表</w:t>
            </w:r>
          </w:p>
        </w:tc>
      </w:tr>
      <w:tr w:rsidR="008A5835" w:rsidRPr="0044563C" w:rsidTr="00640A89">
        <w:trPr>
          <w:trHeight w:val="315"/>
        </w:trPr>
        <w:tc>
          <w:tcPr>
            <w:tcW w:w="13920" w:type="dxa"/>
            <w:gridSpan w:val="10"/>
            <w:tcBorders>
              <w:top w:val="nil"/>
              <w:left w:val="nil"/>
              <w:bottom w:val="nil"/>
              <w:right w:val="nil"/>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（2023年度）</w:t>
            </w:r>
          </w:p>
        </w:tc>
      </w:tr>
      <w:tr w:rsidR="008A5835" w:rsidRPr="0044563C" w:rsidTr="00640A89">
        <w:trPr>
          <w:trHeight w:val="402"/>
        </w:trPr>
        <w:tc>
          <w:tcPr>
            <w:tcW w:w="3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项目名称</w:t>
            </w:r>
          </w:p>
        </w:tc>
        <w:tc>
          <w:tcPr>
            <w:tcW w:w="10380" w:type="dxa"/>
            <w:gridSpan w:val="7"/>
            <w:tcBorders>
              <w:top w:val="single" w:sz="4" w:space="0" w:color="auto"/>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11000023T000002064297-匾额库房恒湿恒温改造</w:t>
            </w:r>
          </w:p>
        </w:tc>
      </w:tr>
      <w:tr w:rsidR="008A5835" w:rsidRPr="0044563C" w:rsidTr="00640A89">
        <w:trPr>
          <w:trHeight w:val="402"/>
        </w:trPr>
        <w:tc>
          <w:tcPr>
            <w:tcW w:w="354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主管部门及代码</w:t>
            </w:r>
          </w:p>
        </w:tc>
        <w:tc>
          <w:tcPr>
            <w:tcW w:w="508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048-北京市文物局</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实施单位</w:t>
            </w:r>
          </w:p>
        </w:tc>
        <w:tc>
          <w:tcPr>
            <w:tcW w:w="3940" w:type="dxa"/>
            <w:gridSpan w:val="3"/>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048025-孔庙和国子监博物馆</w:t>
            </w:r>
          </w:p>
        </w:tc>
      </w:tr>
      <w:tr w:rsidR="008A5835" w:rsidRPr="0044563C" w:rsidTr="00640A89">
        <w:trPr>
          <w:trHeight w:val="402"/>
        </w:trPr>
        <w:tc>
          <w:tcPr>
            <w:tcW w:w="354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项目负责人</w:t>
            </w:r>
          </w:p>
        </w:tc>
        <w:tc>
          <w:tcPr>
            <w:tcW w:w="508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proofErr w:type="gramStart"/>
            <w:r w:rsidRPr="0044563C">
              <w:rPr>
                <w:rFonts w:ascii="宋体" w:hAnsi="宋体" w:cs="宋体" w:hint="eastAsia"/>
                <w:kern w:val="0"/>
                <w:sz w:val="20"/>
                <w:szCs w:val="20"/>
              </w:rPr>
              <w:t>绳博</w:t>
            </w:r>
            <w:proofErr w:type="gramEnd"/>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联系电话</w:t>
            </w:r>
          </w:p>
        </w:tc>
        <w:tc>
          <w:tcPr>
            <w:tcW w:w="3940" w:type="dxa"/>
            <w:gridSpan w:val="3"/>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13810197223</w:t>
            </w:r>
          </w:p>
        </w:tc>
      </w:tr>
      <w:tr w:rsidR="008A5835" w:rsidRPr="0044563C" w:rsidTr="00640A89">
        <w:trPr>
          <w:trHeight w:val="522"/>
        </w:trPr>
        <w:tc>
          <w:tcPr>
            <w:tcW w:w="35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项目资金（万元）</w:t>
            </w:r>
          </w:p>
        </w:tc>
        <w:tc>
          <w:tcPr>
            <w:tcW w:w="2140" w:type="dxa"/>
            <w:tcBorders>
              <w:top w:val="nil"/>
              <w:left w:val="nil"/>
              <w:bottom w:val="single" w:sz="4" w:space="0" w:color="auto"/>
              <w:right w:val="single" w:sz="4" w:space="0" w:color="auto"/>
              <w:tl2br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c>
          <w:tcPr>
            <w:tcW w:w="15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年初预算数</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全年预算数(B)</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全年执行数(C)</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分值（10分）</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执行率(C/B)</w:t>
            </w:r>
          </w:p>
        </w:tc>
        <w:tc>
          <w:tcPr>
            <w:tcW w:w="14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得分</w:t>
            </w:r>
          </w:p>
        </w:tc>
      </w:tr>
      <w:tr w:rsidR="008A5835" w:rsidRPr="0044563C" w:rsidTr="00640A89">
        <w:trPr>
          <w:trHeight w:val="402"/>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年度资金总额：</w:t>
            </w:r>
          </w:p>
        </w:tc>
        <w:tc>
          <w:tcPr>
            <w:tcW w:w="15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24.869000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24.869000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23.907100 </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96.13%</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9.61 </w:t>
            </w:r>
          </w:p>
        </w:tc>
      </w:tr>
      <w:tr w:rsidR="008A5835" w:rsidRPr="0044563C" w:rsidTr="00640A89">
        <w:trPr>
          <w:trHeight w:val="402"/>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其中:当年财政拨款</w:t>
            </w:r>
          </w:p>
        </w:tc>
        <w:tc>
          <w:tcPr>
            <w:tcW w:w="15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4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r>
      <w:tr w:rsidR="008A5835" w:rsidRPr="0044563C" w:rsidTr="00640A89">
        <w:trPr>
          <w:trHeight w:val="402"/>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上年结转资金</w:t>
            </w:r>
          </w:p>
        </w:tc>
        <w:tc>
          <w:tcPr>
            <w:tcW w:w="15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36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c>
          <w:tcPr>
            <w:tcW w:w="14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w:t>
            </w:r>
          </w:p>
        </w:tc>
      </w:tr>
      <w:tr w:rsidR="008A5835" w:rsidRPr="0044563C" w:rsidTr="00640A89">
        <w:trPr>
          <w:trHeight w:val="402"/>
        </w:trPr>
        <w:tc>
          <w:tcPr>
            <w:tcW w:w="3540" w:type="dxa"/>
            <w:gridSpan w:val="3"/>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其他资金</w:t>
            </w:r>
          </w:p>
        </w:tc>
        <w:tc>
          <w:tcPr>
            <w:tcW w:w="15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24.869000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24.869000 </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23.907100 </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96.13%</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9.61 </w:t>
            </w:r>
          </w:p>
        </w:tc>
      </w:tr>
      <w:tr w:rsidR="008A5835" w:rsidRPr="0044563C" w:rsidTr="00640A89">
        <w:trPr>
          <w:trHeight w:val="402"/>
        </w:trPr>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年度总体目标</w:t>
            </w:r>
          </w:p>
        </w:tc>
        <w:tc>
          <w:tcPr>
            <w:tcW w:w="7680" w:type="dxa"/>
            <w:gridSpan w:val="5"/>
            <w:tcBorders>
              <w:top w:val="single" w:sz="4" w:space="0" w:color="auto"/>
              <w:left w:val="nil"/>
              <w:bottom w:val="single" w:sz="4" w:space="0" w:color="auto"/>
              <w:right w:val="nil"/>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预期目标</w:t>
            </w:r>
          </w:p>
        </w:tc>
        <w:tc>
          <w:tcPr>
            <w:tcW w:w="5300" w:type="dxa"/>
            <w:gridSpan w:val="4"/>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实际完成情况</w:t>
            </w:r>
          </w:p>
        </w:tc>
      </w:tr>
      <w:tr w:rsidR="008A5835" w:rsidRPr="0044563C" w:rsidTr="00640A89">
        <w:trPr>
          <w:trHeight w:val="882"/>
        </w:trPr>
        <w:tc>
          <w:tcPr>
            <w:tcW w:w="940" w:type="dxa"/>
            <w:vMerge/>
            <w:tcBorders>
              <w:top w:val="nil"/>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7680" w:type="dxa"/>
            <w:gridSpan w:val="5"/>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proofErr w:type="gramStart"/>
            <w:r w:rsidRPr="0044563C">
              <w:rPr>
                <w:rFonts w:ascii="宋体" w:hAnsi="宋体" w:cs="宋体" w:hint="eastAsia"/>
                <w:kern w:val="0"/>
                <w:sz w:val="20"/>
                <w:szCs w:val="20"/>
              </w:rPr>
              <w:t>将崇圣祠现有</w:t>
            </w:r>
            <w:proofErr w:type="gramEnd"/>
            <w:r w:rsidRPr="0044563C">
              <w:rPr>
                <w:rFonts w:ascii="宋体" w:hAnsi="宋体" w:cs="宋体" w:hint="eastAsia"/>
                <w:kern w:val="0"/>
                <w:sz w:val="20"/>
                <w:szCs w:val="20"/>
              </w:rPr>
              <w:t>匾额库房改造为恒湿恒温库房，满足馆藏珍贵文物的保存条件。</w:t>
            </w:r>
          </w:p>
        </w:tc>
        <w:tc>
          <w:tcPr>
            <w:tcW w:w="5300" w:type="dxa"/>
            <w:gridSpan w:val="4"/>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通过对崇</w:t>
            </w:r>
            <w:proofErr w:type="gramStart"/>
            <w:r w:rsidRPr="0044563C">
              <w:rPr>
                <w:rFonts w:ascii="宋体" w:hAnsi="宋体" w:cs="宋体" w:hint="eastAsia"/>
                <w:kern w:val="0"/>
                <w:sz w:val="20"/>
                <w:szCs w:val="20"/>
              </w:rPr>
              <w:t>圣祠现有</w:t>
            </w:r>
            <w:proofErr w:type="gramEnd"/>
            <w:r w:rsidRPr="0044563C">
              <w:rPr>
                <w:rFonts w:ascii="宋体" w:hAnsi="宋体" w:cs="宋体" w:hint="eastAsia"/>
                <w:kern w:val="0"/>
                <w:sz w:val="20"/>
                <w:szCs w:val="20"/>
              </w:rPr>
              <w:t>匾额库房改造为恒湿恒温库房，满足了馆藏珍贵文物的保存条件。</w:t>
            </w:r>
          </w:p>
        </w:tc>
      </w:tr>
      <w:tr w:rsidR="008A5835" w:rsidRPr="0044563C" w:rsidTr="00640A89">
        <w:trPr>
          <w:trHeight w:val="679"/>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绩效指标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一级指标</w:t>
            </w:r>
          </w:p>
        </w:tc>
        <w:tc>
          <w:tcPr>
            <w:tcW w:w="130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二级指标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三级指标</w:t>
            </w:r>
          </w:p>
        </w:tc>
        <w:tc>
          <w:tcPr>
            <w:tcW w:w="2940" w:type="dxa"/>
            <w:gridSpan w:val="2"/>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年度指标值(A)</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实际完成值</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分值</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得分</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偏差原因分析及改进措施</w:t>
            </w:r>
          </w:p>
        </w:tc>
      </w:tr>
      <w:tr w:rsidR="008A5835" w:rsidRPr="0044563C" w:rsidTr="00640A89">
        <w:trPr>
          <w:trHeight w:val="2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产出指标</w:t>
            </w:r>
          </w:p>
        </w:tc>
        <w:tc>
          <w:tcPr>
            <w:tcW w:w="1300" w:type="dxa"/>
            <w:vMerge w:val="restart"/>
            <w:tcBorders>
              <w:top w:val="nil"/>
              <w:left w:val="single" w:sz="4" w:space="0" w:color="auto"/>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数量指标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设备正常使用率</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100%</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100%</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7.00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7.00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2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工程验收合格率</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100%</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100%</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8.00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8.00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2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质量指标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施工面积</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≥75平方米</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75平方米</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8.00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8.00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2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购买设备数量</w:t>
            </w:r>
          </w:p>
        </w:tc>
        <w:tc>
          <w:tcPr>
            <w:tcW w:w="2940" w:type="dxa"/>
            <w:gridSpan w:val="2"/>
            <w:tcBorders>
              <w:top w:val="single" w:sz="4" w:space="0" w:color="auto"/>
              <w:left w:val="nil"/>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≥1台</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1台（套）</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7.00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7.00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4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时效指标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2023年3月31日前完成立项</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3月</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3月</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4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2023年9月30日前完成改造</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9月</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9月</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5.00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2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single" w:sz="4" w:space="0" w:color="000000"/>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成本指标</w:t>
            </w:r>
          </w:p>
        </w:tc>
        <w:tc>
          <w:tcPr>
            <w:tcW w:w="13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经济成本指</w:t>
            </w:r>
            <w:r w:rsidRPr="0044563C">
              <w:rPr>
                <w:rFonts w:ascii="宋体" w:hAnsi="宋体" w:cs="宋体" w:hint="eastAsia"/>
                <w:kern w:val="0"/>
                <w:sz w:val="20"/>
                <w:szCs w:val="20"/>
              </w:rPr>
              <w:lastRenderedPageBreak/>
              <w:t>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lastRenderedPageBreak/>
              <w:t>设备购置费</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≤18.5万元</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18.2588万元</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336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single" w:sz="4" w:space="0" w:color="000000"/>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劳务费</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≤0.48万元</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0.24万元</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3.00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3.00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因项目原定共组织专家会两次，项目执行期间按照馆内修订的采购制度，设备采购采用内部比价方式进行，故而项目未涉及专家评审，仅在后期组织专家会一次，对项目实施成果进行验收和指导。节约资金0.24万元</w:t>
            </w:r>
          </w:p>
        </w:tc>
      </w:tr>
      <w:tr w:rsidR="008A5835" w:rsidRPr="0044563C" w:rsidTr="00640A89">
        <w:trPr>
          <w:trHeight w:val="96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single" w:sz="4" w:space="0" w:color="000000"/>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项目总预算</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≤24.869万</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23.9071万元</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因比选报价低于预算金额，节约资金0.9619万元</w:t>
            </w:r>
          </w:p>
        </w:tc>
      </w:tr>
      <w:tr w:rsidR="008A5835" w:rsidRPr="0044563C" w:rsidTr="00640A89">
        <w:trPr>
          <w:trHeight w:val="24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single" w:sz="4" w:space="0" w:color="000000"/>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2140" w:type="dxa"/>
            <w:tcBorders>
              <w:top w:val="nil"/>
              <w:left w:val="single" w:sz="4" w:space="0" w:color="C2C3C4"/>
              <w:bottom w:val="single" w:sz="4" w:space="0" w:color="C2C3C4"/>
              <w:right w:val="single" w:sz="4" w:space="0" w:color="C2C3C4"/>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其他商品服务支出</w:t>
            </w:r>
          </w:p>
        </w:tc>
        <w:tc>
          <w:tcPr>
            <w:tcW w:w="29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≤5.889万元</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5.4083万元</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3.00 </w:t>
            </w:r>
          </w:p>
        </w:tc>
        <w:tc>
          <w:tcPr>
            <w:tcW w:w="11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3.00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　</w:t>
            </w:r>
          </w:p>
        </w:tc>
      </w:tr>
      <w:tr w:rsidR="008A5835" w:rsidRPr="0044563C" w:rsidTr="00640A89">
        <w:trPr>
          <w:trHeight w:val="16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val="restart"/>
            <w:tcBorders>
              <w:top w:val="nil"/>
              <w:left w:val="single" w:sz="4" w:space="0" w:color="auto"/>
              <w:bottom w:val="nil"/>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效益指标</w:t>
            </w: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社会效益指标</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延缓文物劣化</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优</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得到延缓</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17.00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偏差原因分析：相应支撑材料不够充分</w:t>
            </w:r>
            <w:r w:rsidRPr="0044563C">
              <w:rPr>
                <w:rFonts w:ascii="宋体" w:hAnsi="宋体" w:cs="宋体" w:hint="eastAsia"/>
                <w:kern w:val="0"/>
                <w:sz w:val="20"/>
                <w:szCs w:val="20"/>
              </w:rPr>
              <w:br/>
              <w:t>改进措施：今后将加强相关绩效支撑材料收集、整理及归档工作</w:t>
            </w:r>
          </w:p>
        </w:tc>
      </w:tr>
      <w:tr w:rsidR="008A5835" w:rsidRPr="0044563C" w:rsidTr="00640A89">
        <w:trPr>
          <w:trHeight w:val="1680"/>
        </w:trPr>
        <w:tc>
          <w:tcPr>
            <w:tcW w:w="940" w:type="dxa"/>
            <w:vMerge/>
            <w:tcBorders>
              <w:top w:val="nil"/>
              <w:left w:val="single" w:sz="4" w:space="0" w:color="auto"/>
              <w:bottom w:val="single" w:sz="4" w:space="0" w:color="auto"/>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vMerge/>
            <w:tcBorders>
              <w:top w:val="nil"/>
              <w:left w:val="single" w:sz="4" w:space="0" w:color="auto"/>
              <w:bottom w:val="nil"/>
              <w:right w:val="single" w:sz="4" w:space="0" w:color="auto"/>
            </w:tcBorders>
            <w:vAlign w:val="center"/>
            <w:hideMark/>
          </w:tcPr>
          <w:p w:rsidR="008A5835" w:rsidRPr="0044563C" w:rsidRDefault="008A5835" w:rsidP="00640A89">
            <w:pPr>
              <w:widowControl/>
              <w:jc w:val="left"/>
              <w:rPr>
                <w:rFonts w:ascii="宋体" w:hAnsi="宋体" w:cs="宋体"/>
                <w:kern w:val="0"/>
                <w:sz w:val="20"/>
                <w:szCs w:val="20"/>
              </w:rPr>
            </w:pPr>
          </w:p>
        </w:tc>
        <w:tc>
          <w:tcPr>
            <w:tcW w:w="130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可持续影响指标</w:t>
            </w:r>
          </w:p>
        </w:tc>
        <w:tc>
          <w:tcPr>
            <w:tcW w:w="214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proofErr w:type="gramStart"/>
            <w:r w:rsidRPr="0044563C">
              <w:rPr>
                <w:rFonts w:ascii="宋体" w:hAnsi="宋体" w:cs="宋体" w:hint="eastAsia"/>
                <w:kern w:val="0"/>
                <w:sz w:val="20"/>
                <w:szCs w:val="20"/>
              </w:rPr>
              <w:t>将崇圣祠现有</w:t>
            </w:r>
            <w:proofErr w:type="gramEnd"/>
            <w:r w:rsidRPr="0044563C">
              <w:rPr>
                <w:rFonts w:ascii="宋体" w:hAnsi="宋体" w:cs="宋体" w:hint="eastAsia"/>
                <w:kern w:val="0"/>
                <w:sz w:val="20"/>
                <w:szCs w:val="20"/>
              </w:rPr>
              <w:t>匾额库房改造为恒湿恒温库房，满足馆藏珍贵文物的保存条件。</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优</w:t>
            </w:r>
          </w:p>
        </w:tc>
        <w:tc>
          <w:tcPr>
            <w:tcW w:w="136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馆藏珍贵文物的保存条件得到满足</w:t>
            </w:r>
          </w:p>
        </w:tc>
        <w:tc>
          <w:tcPr>
            <w:tcW w:w="12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20.00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17.00 </w:t>
            </w:r>
          </w:p>
        </w:tc>
        <w:tc>
          <w:tcPr>
            <w:tcW w:w="1480" w:type="dxa"/>
            <w:tcBorders>
              <w:top w:val="nil"/>
              <w:left w:val="nil"/>
              <w:bottom w:val="single" w:sz="4" w:space="0" w:color="auto"/>
              <w:right w:val="single" w:sz="4" w:space="0" w:color="auto"/>
            </w:tcBorders>
            <w:shd w:val="clear" w:color="auto" w:fill="auto"/>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偏差原因分析：相应支撑材料不够充分</w:t>
            </w:r>
            <w:r w:rsidRPr="0044563C">
              <w:rPr>
                <w:rFonts w:ascii="宋体" w:hAnsi="宋体" w:cs="宋体" w:hint="eastAsia"/>
                <w:kern w:val="0"/>
                <w:sz w:val="20"/>
                <w:szCs w:val="20"/>
              </w:rPr>
              <w:br/>
              <w:t>改进措施：今后将加强相关绩效支撑材料收集、整理及归档工作</w:t>
            </w:r>
          </w:p>
        </w:tc>
      </w:tr>
      <w:tr w:rsidR="008A5835" w:rsidRPr="0044563C" w:rsidTr="00640A89">
        <w:trPr>
          <w:trHeight w:val="240"/>
        </w:trPr>
        <w:tc>
          <w:tcPr>
            <w:tcW w:w="9980"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总分：</w:t>
            </w:r>
          </w:p>
        </w:tc>
        <w:tc>
          <w:tcPr>
            <w:tcW w:w="12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100.00 </w:t>
            </w:r>
          </w:p>
        </w:tc>
        <w:tc>
          <w:tcPr>
            <w:tcW w:w="11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center"/>
              <w:rPr>
                <w:rFonts w:ascii="宋体" w:hAnsi="宋体" w:cs="宋体"/>
                <w:kern w:val="0"/>
                <w:sz w:val="20"/>
                <w:szCs w:val="20"/>
              </w:rPr>
            </w:pPr>
            <w:r w:rsidRPr="0044563C">
              <w:rPr>
                <w:rFonts w:ascii="宋体" w:hAnsi="宋体" w:cs="宋体" w:hint="eastAsia"/>
                <w:kern w:val="0"/>
                <w:sz w:val="20"/>
                <w:szCs w:val="20"/>
              </w:rPr>
              <w:t xml:space="preserve">93.61 </w:t>
            </w:r>
          </w:p>
        </w:tc>
        <w:tc>
          <w:tcPr>
            <w:tcW w:w="1480" w:type="dxa"/>
            <w:tcBorders>
              <w:top w:val="nil"/>
              <w:left w:val="nil"/>
              <w:bottom w:val="single" w:sz="4" w:space="0" w:color="auto"/>
              <w:right w:val="single" w:sz="4" w:space="0" w:color="auto"/>
            </w:tcBorders>
            <w:shd w:val="clear" w:color="auto" w:fill="auto"/>
            <w:noWrap/>
            <w:vAlign w:val="center"/>
            <w:hideMark/>
          </w:tcPr>
          <w:p w:rsidR="008A5835" w:rsidRPr="0044563C" w:rsidRDefault="008A5835" w:rsidP="00640A89">
            <w:pPr>
              <w:widowControl/>
              <w:jc w:val="left"/>
              <w:rPr>
                <w:rFonts w:ascii="宋体" w:hAnsi="宋体" w:cs="宋体"/>
                <w:kern w:val="0"/>
                <w:sz w:val="20"/>
                <w:szCs w:val="20"/>
              </w:rPr>
            </w:pPr>
            <w:r w:rsidRPr="0044563C">
              <w:rPr>
                <w:rFonts w:ascii="宋体" w:hAnsi="宋体" w:cs="宋体" w:hint="eastAsia"/>
                <w:kern w:val="0"/>
                <w:sz w:val="20"/>
                <w:szCs w:val="20"/>
              </w:rPr>
              <w:t xml:space="preserve">　</w:t>
            </w:r>
          </w:p>
        </w:tc>
      </w:tr>
    </w:tbl>
    <w:p w:rsidR="008A5835" w:rsidRDefault="008A5835" w:rsidP="008A5835">
      <w:pPr>
        <w:pStyle w:val="a0"/>
        <w:ind w:firstLine="420"/>
      </w:pPr>
    </w:p>
    <w:p w:rsidR="003B677F" w:rsidRDefault="003B677F"/>
    <w:sectPr w:rsidR="003B677F">
      <w:footerReference w:type="even" r:id="rId13"/>
      <w:footerReference w:type="default" r:id="rId14"/>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8FA" w:rsidRDefault="007938FA">
      <w:r>
        <w:separator/>
      </w:r>
    </w:p>
  </w:endnote>
  <w:endnote w:type="continuationSeparator" w:id="0">
    <w:p w:rsidR="007938FA" w:rsidRDefault="00793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10002FF" w:usb1="4000ACFF" w:usb2="00000009" w:usb3="00000000" w:csb0="0000019F" w:csb1="00000000"/>
  </w:font>
  <w:font w:name="Tahoma">
    <w:altName w:val="DejaVu Sans"/>
    <w:panose1 w:val="020B0604030504040204"/>
    <w:charset w:val="00"/>
    <w:family w:val="swiss"/>
    <w:pitch w:val="variable"/>
    <w:sig w:usb0="E1002EFF" w:usb1="C000605B" w:usb2="00000029" w:usb3="00000000" w:csb0="000101FF" w:csb1="00000000"/>
  </w:font>
  <w:font w:name="仿宋">
    <w:altName w:val="方正仿宋_GBK"/>
    <w:panose1 w:val="02010609060101010101"/>
    <w:charset w:val="86"/>
    <w:family w:val="modern"/>
    <w:pitch w:val="fixed"/>
    <w:sig w:usb0="800002BF" w:usb1="38CF7CFA" w:usb2="00000016" w:usb3="00000000" w:csb0="00040001" w:csb1="00000000"/>
  </w:font>
  <w:font w:name="Droid Sans">
    <w:altName w:val="文泉驿微米黑"/>
    <w:charset w:val="00"/>
    <w:family w:val="auto"/>
    <w:pitch w:val="default"/>
    <w:sig w:usb0="00000000" w:usb1="00000000" w:usb2="00000000" w:usb3="00000000" w:csb0="00040001" w:csb1="00000000"/>
  </w:font>
  <w:font w:name="CESI仿宋-GB2312">
    <w:altName w:val="微软雅黑"/>
    <w:charset w:val="86"/>
    <w:family w:val="auto"/>
    <w:pitch w:val="default"/>
    <w:sig w:usb0="00000000" w:usb1="084F6CF8"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A89" w:rsidRDefault="00640A89">
    <w:pPr>
      <w:pStyle w:val="a7"/>
      <w:framePr w:wrap="around" w:vAnchor="text" w:hAnchor="margin" w:xAlign="center" w:y="1"/>
      <w:rPr>
        <w:rStyle w:val="ab"/>
      </w:rPr>
    </w:pPr>
    <w:r>
      <w:fldChar w:fldCharType="begin"/>
    </w:r>
    <w:r>
      <w:rPr>
        <w:rStyle w:val="ab"/>
      </w:rPr>
      <w:instrText xml:space="preserve">PAGE  </w:instrText>
    </w:r>
    <w:r>
      <w:fldChar w:fldCharType="separate"/>
    </w:r>
    <w:r w:rsidR="004A48FF">
      <w:rPr>
        <w:rStyle w:val="ab"/>
        <w:noProof/>
      </w:rPr>
      <w:t>3</w:t>
    </w:r>
    <w:r>
      <w:fldChar w:fldCharType="end"/>
    </w:r>
  </w:p>
  <w:p w:rsidR="00640A89" w:rsidRDefault="00640A8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A89" w:rsidRDefault="00640A89">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640A89" w:rsidRDefault="00640A89">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A89" w:rsidRDefault="00640A89">
    <w:pPr>
      <w:pStyle w:val="a7"/>
      <w:framePr w:wrap="around" w:vAnchor="text" w:hAnchor="margin" w:xAlign="center" w:y="1"/>
      <w:rPr>
        <w:rStyle w:val="ab"/>
      </w:rPr>
    </w:pPr>
    <w:r>
      <w:fldChar w:fldCharType="begin"/>
    </w:r>
    <w:r>
      <w:rPr>
        <w:rStyle w:val="ab"/>
      </w:rPr>
      <w:instrText xml:space="preserve">PAGE  </w:instrText>
    </w:r>
    <w:r>
      <w:fldChar w:fldCharType="separate"/>
    </w:r>
    <w:r w:rsidR="004A48FF">
      <w:rPr>
        <w:rStyle w:val="ab"/>
        <w:noProof/>
      </w:rPr>
      <w:t>11</w:t>
    </w:r>
    <w:r>
      <w:fldChar w:fldCharType="end"/>
    </w:r>
  </w:p>
  <w:p w:rsidR="00640A89" w:rsidRDefault="00640A8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8FA" w:rsidRDefault="007938FA">
      <w:r>
        <w:separator/>
      </w:r>
    </w:p>
  </w:footnote>
  <w:footnote w:type="continuationSeparator" w:id="0">
    <w:p w:rsidR="007938FA" w:rsidRDefault="007938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E171D"/>
    <w:multiLevelType w:val="hybridMultilevel"/>
    <w:tmpl w:val="409E7728"/>
    <w:lvl w:ilvl="0" w:tplc="F2B0FCEA">
      <w:start w:val="1"/>
      <w:numFmt w:val="japaneseCounting"/>
      <w:lvlText w:val="%1、"/>
      <w:lvlJc w:val="left"/>
      <w:pPr>
        <w:ind w:left="1160" w:hanging="60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79A7501B"/>
    <w:multiLevelType w:val="hybridMultilevel"/>
    <w:tmpl w:val="607CFE72"/>
    <w:lvl w:ilvl="0" w:tplc="217289C2">
      <w:start w:val="1"/>
      <w:numFmt w:val="japaneseCounting"/>
      <w:lvlText w:val="%1、"/>
      <w:lvlJc w:val="left"/>
      <w:pPr>
        <w:ind w:left="600" w:hanging="60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66418"/>
    <w:rsid w:val="0017111F"/>
    <w:rsid w:val="00173CF6"/>
    <w:rsid w:val="00180DAD"/>
    <w:rsid w:val="0018370E"/>
    <w:rsid w:val="001852E1"/>
    <w:rsid w:val="00191568"/>
    <w:rsid w:val="001A4277"/>
    <w:rsid w:val="001A4D9B"/>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77F"/>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37389"/>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8FF"/>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0A89"/>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24C53"/>
    <w:rsid w:val="007428F0"/>
    <w:rsid w:val="007512EF"/>
    <w:rsid w:val="007551AC"/>
    <w:rsid w:val="0076101C"/>
    <w:rsid w:val="00763D87"/>
    <w:rsid w:val="007670B2"/>
    <w:rsid w:val="00771795"/>
    <w:rsid w:val="00774925"/>
    <w:rsid w:val="0079279F"/>
    <w:rsid w:val="007938FA"/>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5835"/>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351C"/>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391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BA148CA"/>
    <w:rsid w:val="0DD136FE"/>
    <w:rsid w:val="0F8E2C57"/>
    <w:rsid w:val="1059665E"/>
    <w:rsid w:val="10AC13BA"/>
    <w:rsid w:val="1AEC0734"/>
    <w:rsid w:val="1DEF20B0"/>
    <w:rsid w:val="214243FA"/>
    <w:rsid w:val="21AD613C"/>
    <w:rsid w:val="257A14F5"/>
    <w:rsid w:val="27196C26"/>
    <w:rsid w:val="29EF086F"/>
    <w:rsid w:val="2EFFE297"/>
    <w:rsid w:val="301437CA"/>
    <w:rsid w:val="349D1F0A"/>
    <w:rsid w:val="34DD0473"/>
    <w:rsid w:val="433E495C"/>
    <w:rsid w:val="4AC27CB3"/>
    <w:rsid w:val="4BF72BEF"/>
    <w:rsid w:val="51DB3C59"/>
    <w:rsid w:val="550C0952"/>
    <w:rsid w:val="55762E42"/>
    <w:rsid w:val="57A7B272"/>
    <w:rsid w:val="58470068"/>
    <w:rsid w:val="5A1720F9"/>
    <w:rsid w:val="5B9C37C2"/>
    <w:rsid w:val="5BA7C654"/>
    <w:rsid w:val="64C0607C"/>
    <w:rsid w:val="676F09E1"/>
    <w:rsid w:val="7A7F1C49"/>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pPr>
      <w:widowControl w:val="0"/>
      <w:jc w:val="both"/>
    </w:pPr>
    <w:rPr>
      <w:kern w:val="2"/>
      <w:sz w:val="21"/>
      <w:szCs w:val="24"/>
    </w:rPr>
  </w:style>
  <w:style w:type="paragraph" w:styleId="2">
    <w:name w:val="heading 2"/>
    <w:basedOn w:val="a"/>
    <w:next w:val="a"/>
    <w:autoRedefine/>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uiPriority w:val="99"/>
    <w:qFormat/>
    <w:pPr>
      <w:ind w:firstLineChars="200" w:firstLine="200"/>
    </w:pPr>
  </w:style>
  <w:style w:type="paragraph" w:styleId="a4">
    <w:name w:val="Body Text Indent"/>
    <w:basedOn w:val="a"/>
    <w:autoRedefine/>
    <w:qFormat/>
    <w:pPr>
      <w:ind w:firstLine="645"/>
    </w:pPr>
    <w:rPr>
      <w:rFonts w:ascii="仿宋_GB2312" w:eastAsia="仿宋_GB2312" w:hAnsi="Calibri"/>
      <w:sz w:val="32"/>
      <w:szCs w:val="32"/>
    </w:rPr>
  </w:style>
  <w:style w:type="paragraph" w:styleId="a5">
    <w:name w:val="Date"/>
    <w:basedOn w:val="a"/>
    <w:next w:val="a"/>
    <w:autoRedefine/>
    <w:qFormat/>
    <w:pPr>
      <w:ind w:leftChars="2500" w:left="100"/>
    </w:pPr>
  </w:style>
  <w:style w:type="paragraph" w:styleId="a6">
    <w:name w:val="Balloon Text"/>
    <w:basedOn w:val="a"/>
    <w:autoRedefine/>
    <w:semiHidden/>
    <w:qFormat/>
    <w:rPr>
      <w:sz w:val="18"/>
      <w:szCs w:val="18"/>
    </w:rPr>
  </w:style>
  <w:style w:type="paragraph" w:styleId="a7">
    <w:name w:val="footer"/>
    <w:basedOn w:val="a"/>
    <w:link w:val="Char"/>
    <w:autoRedefine/>
    <w:qFormat/>
    <w:pPr>
      <w:tabs>
        <w:tab w:val="center" w:pos="4153"/>
        <w:tab w:val="right" w:pos="8306"/>
      </w:tabs>
      <w:snapToGrid w:val="0"/>
      <w:jc w:val="left"/>
    </w:pPr>
    <w:rPr>
      <w:sz w:val="18"/>
      <w:szCs w:val="18"/>
    </w:rPr>
  </w:style>
  <w:style w:type="paragraph" w:styleId="a8">
    <w:name w:val="header"/>
    <w:basedOn w:val="a"/>
    <w:link w:val="Char0"/>
    <w:autoRedefine/>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autoRedefine/>
    <w:unhideWhenUsed/>
    <w:qFormat/>
    <w:pPr>
      <w:spacing w:before="100" w:beforeAutospacing="1" w:after="100" w:afterAutospacing="1"/>
      <w:ind w:right="238"/>
      <w:jc w:val="left"/>
    </w:pPr>
    <w:rPr>
      <w:b/>
      <w:kern w:val="0"/>
      <w:sz w:val="24"/>
      <w:szCs w:val="20"/>
    </w:rPr>
  </w:style>
  <w:style w:type="character" w:styleId="aa">
    <w:name w:val="Strong"/>
    <w:autoRedefine/>
    <w:qFormat/>
    <w:rPr>
      <w:b/>
    </w:rPr>
  </w:style>
  <w:style w:type="character" w:styleId="ab">
    <w:name w:val="page number"/>
    <w:autoRedefine/>
    <w:qFormat/>
  </w:style>
  <w:style w:type="character" w:customStyle="1" w:styleId="Char">
    <w:name w:val="页脚 Char"/>
    <w:link w:val="a7"/>
    <w:autoRedefine/>
    <w:qFormat/>
    <w:rPr>
      <w:rFonts w:eastAsia="宋体"/>
      <w:kern w:val="2"/>
      <w:sz w:val="18"/>
      <w:szCs w:val="18"/>
      <w:lang w:val="en-US" w:eastAsia="zh-CN" w:bidi="ar-SA"/>
    </w:rPr>
  </w:style>
  <w:style w:type="character" w:customStyle="1" w:styleId="Char0">
    <w:name w:val="页眉 Char"/>
    <w:link w:val="a8"/>
    <w:autoRedefine/>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autoRedefine/>
    <w:qFormat/>
    <w:rPr>
      <w:rFonts w:ascii="Tahoma" w:hAnsi="Tahoma"/>
      <w:sz w:val="24"/>
      <w:szCs w:val="20"/>
    </w:rPr>
  </w:style>
  <w:style w:type="paragraph" w:customStyle="1" w:styleId="Char1CharCharChar">
    <w:name w:val="Char1 Char Char Char"/>
    <w:basedOn w:val="a"/>
    <w:autoRedefine/>
    <w:qFormat/>
    <w:pPr>
      <w:widowControl/>
      <w:spacing w:after="160" w:line="240" w:lineRule="exact"/>
      <w:jc w:val="left"/>
    </w:pPr>
    <w:rPr>
      <w:szCs w:val="20"/>
    </w:rPr>
  </w:style>
  <w:style w:type="paragraph" w:customStyle="1" w:styleId="Char1">
    <w:name w:val="Char"/>
    <w:basedOn w:val="a"/>
    <w:autoRedefine/>
    <w:qFormat/>
    <w:rPr>
      <w:rFonts w:ascii="Tahoma" w:hAnsi="Tahoma"/>
      <w:sz w:val="24"/>
      <w:szCs w:val="20"/>
    </w:rPr>
  </w:style>
  <w:style w:type="paragraph" w:customStyle="1" w:styleId="CharChar3CharChar">
    <w:name w:val="Char Char3 Char Char"/>
    <w:basedOn w:val="a"/>
    <w:autoRedefine/>
    <w:qFormat/>
    <w:rPr>
      <w:szCs w:val="21"/>
    </w:rPr>
  </w:style>
  <w:style w:type="paragraph" w:styleId="ac">
    <w:name w:val="List Paragraph"/>
    <w:basedOn w:val="a"/>
    <w:uiPriority w:val="99"/>
    <w:unhideWhenUsed/>
    <w:rsid w:val="008A5835"/>
    <w:pPr>
      <w:ind w:firstLineChars="200" w:firstLine="420"/>
    </w:pPr>
  </w:style>
  <w:style w:type="paragraph" w:customStyle="1" w:styleId="CharCharCharCharCharCharChar0">
    <w:name w:val="Char Char Char Char Char Char Char"/>
    <w:basedOn w:val="a"/>
    <w:qFormat/>
    <w:rsid w:val="008A5835"/>
    <w:rPr>
      <w:rFonts w:ascii="Tahoma" w:hAnsi="Tahoma"/>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pPr>
      <w:widowControl w:val="0"/>
      <w:jc w:val="both"/>
    </w:pPr>
    <w:rPr>
      <w:kern w:val="2"/>
      <w:sz w:val="21"/>
      <w:szCs w:val="24"/>
    </w:rPr>
  </w:style>
  <w:style w:type="paragraph" w:styleId="2">
    <w:name w:val="heading 2"/>
    <w:basedOn w:val="a"/>
    <w:next w:val="a"/>
    <w:autoRedefine/>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autoRedefine/>
    <w:uiPriority w:val="99"/>
    <w:qFormat/>
    <w:pPr>
      <w:ind w:firstLineChars="200" w:firstLine="200"/>
    </w:pPr>
  </w:style>
  <w:style w:type="paragraph" w:styleId="a4">
    <w:name w:val="Body Text Indent"/>
    <w:basedOn w:val="a"/>
    <w:autoRedefine/>
    <w:qFormat/>
    <w:pPr>
      <w:ind w:firstLine="645"/>
    </w:pPr>
    <w:rPr>
      <w:rFonts w:ascii="仿宋_GB2312" w:eastAsia="仿宋_GB2312" w:hAnsi="Calibri"/>
      <w:sz w:val="32"/>
      <w:szCs w:val="32"/>
    </w:rPr>
  </w:style>
  <w:style w:type="paragraph" w:styleId="a5">
    <w:name w:val="Date"/>
    <w:basedOn w:val="a"/>
    <w:next w:val="a"/>
    <w:autoRedefine/>
    <w:qFormat/>
    <w:pPr>
      <w:ind w:leftChars="2500" w:left="100"/>
    </w:pPr>
  </w:style>
  <w:style w:type="paragraph" w:styleId="a6">
    <w:name w:val="Balloon Text"/>
    <w:basedOn w:val="a"/>
    <w:autoRedefine/>
    <w:semiHidden/>
    <w:qFormat/>
    <w:rPr>
      <w:sz w:val="18"/>
      <w:szCs w:val="18"/>
    </w:rPr>
  </w:style>
  <w:style w:type="paragraph" w:styleId="a7">
    <w:name w:val="footer"/>
    <w:basedOn w:val="a"/>
    <w:link w:val="Char"/>
    <w:autoRedefine/>
    <w:qFormat/>
    <w:pPr>
      <w:tabs>
        <w:tab w:val="center" w:pos="4153"/>
        <w:tab w:val="right" w:pos="8306"/>
      </w:tabs>
      <w:snapToGrid w:val="0"/>
      <w:jc w:val="left"/>
    </w:pPr>
    <w:rPr>
      <w:sz w:val="18"/>
      <w:szCs w:val="18"/>
    </w:rPr>
  </w:style>
  <w:style w:type="paragraph" w:styleId="a8">
    <w:name w:val="header"/>
    <w:basedOn w:val="a"/>
    <w:link w:val="Char0"/>
    <w:autoRedefine/>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autoRedefine/>
    <w:unhideWhenUsed/>
    <w:qFormat/>
    <w:pPr>
      <w:spacing w:before="100" w:beforeAutospacing="1" w:after="100" w:afterAutospacing="1"/>
      <w:ind w:right="238"/>
      <w:jc w:val="left"/>
    </w:pPr>
    <w:rPr>
      <w:b/>
      <w:kern w:val="0"/>
      <w:sz w:val="24"/>
      <w:szCs w:val="20"/>
    </w:rPr>
  </w:style>
  <w:style w:type="character" w:styleId="aa">
    <w:name w:val="Strong"/>
    <w:autoRedefine/>
    <w:qFormat/>
    <w:rPr>
      <w:b/>
    </w:rPr>
  </w:style>
  <w:style w:type="character" w:styleId="ab">
    <w:name w:val="page number"/>
    <w:autoRedefine/>
    <w:qFormat/>
  </w:style>
  <w:style w:type="character" w:customStyle="1" w:styleId="Char">
    <w:name w:val="页脚 Char"/>
    <w:link w:val="a7"/>
    <w:autoRedefine/>
    <w:qFormat/>
    <w:rPr>
      <w:rFonts w:eastAsia="宋体"/>
      <w:kern w:val="2"/>
      <w:sz w:val="18"/>
      <w:szCs w:val="18"/>
      <w:lang w:val="en-US" w:eastAsia="zh-CN" w:bidi="ar-SA"/>
    </w:rPr>
  </w:style>
  <w:style w:type="character" w:customStyle="1" w:styleId="Char0">
    <w:name w:val="页眉 Char"/>
    <w:link w:val="a8"/>
    <w:autoRedefine/>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autoRedefine/>
    <w:qFormat/>
    <w:rPr>
      <w:rFonts w:ascii="Tahoma" w:hAnsi="Tahoma"/>
      <w:sz w:val="24"/>
      <w:szCs w:val="20"/>
    </w:rPr>
  </w:style>
  <w:style w:type="paragraph" w:customStyle="1" w:styleId="Char1CharCharChar">
    <w:name w:val="Char1 Char Char Char"/>
    <w:basedOn w:val="a"/>
    <w:autoRedefine/>
    <w:qFormat/>
    <w:pPr>
      <w:widowControl/>
      <w:spacing w:after="160" w:line="240" w:lineRule="exact"/>
      <w:jc w:val="left"/>
    </w:pPr>
    <w:rPr>
      <w:szCs w:val="20"/>
    </w:rPr>
  </w:style>
  <w:style w:type="paragraph" w:customStyle="1" w:styleId="Char1">
    <w:name w:val="Char"/>
    <w:basedOn w:val="a"/>
    <w:autoRedefine/>
    <w:qFormat/>
    <w:rPr>
      <w:rFonts w:ascii="Tahoma" w:hAnsi="Tahoma"/>
      <w:sz w:val="24"/>
      <w:szCs w:val="20"/>
    </w:rPr>
  </w:style>
  <w:style w:type="paragraph" w:customStyle="1" w:styleId="CharChar3CharChar">
    <w:name w:val="Char Char3 Char Char"/>
    <w:basedOn w:val="a"/>
    <w:autoRedefine/>
    <w:qFormat/>
    <w:rPr>
      <w:szCs w:val="21"/>
    </w:rPr>
  </w:style>
  <w:style w:type="paragraph" w:styleId="ac">
    <w:name w:val="List Paragraph"/>
    <w:basedOn w:val="a"/>
    <w:uiPriority w:val="99"/>
    <w:unhideWhenUsed/>
    <w:rsid w:val="008A5835"/>
    <w:pPr>
      <w:ind w:firstLineChars="200" w:firstLine="420"/>
    </w:pPr>
  </w:style>
  <w:style w:type="paragraph" w:customStyle="1" w:styleId="CharCharCharCharCharCharChar0">
    <w:name w:val="Char Char Char Char Char Char Char"/>
    <w:basedOn w:val="a"/>
    <w:qFormat/>
    <w:rsid w:val="008A5835"/>
    <w:rPr>
      <w:rFonts w:ascii="Tahoma" w:hAnsi="Tahom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___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___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713216957605985"/>
          <c:y val="0.20224719101123595"/>
          <c:w val="0.39900249376558605"/>
          <c:h val="0.59925093632958804"/>
        </c:manualLayout>
      </c:layout>
      <c:pieChart>
        <c:varyColors val="1"/>
        <c:ser>
          <c:idx val="1"/>
          <c:order val="0"/>
          <c:tx>
            <c:strRef>
              <c:f>Sheet1!$A$3</c:f>
              <c:strCache>
                <c:ptCount val="1"/>
              </c:strCache>
            </c:strRef>
          </c:tx>
          <c:spPr>
            <a:solidFill>
              <a:srgbClr val="993366"/>
            </a:solidFill>
            <a:ln w="12706">
              <a:solidFill>
                <a:srgbClr val="000000"/>
              </a:solidFill>
              <a:prstDash val="solid"/>
            </a:ln>
          </c:spPr>
          <c:dPt>
            <c:idx val="0"/>
            <c:bubble3D val="0"/>
            <c:spPr>
              <a:solidFill>
                <a:srgbClr val="9999FF"/>
              </a:solidFill>
              <a:ln w="12706">
                <a:solidFill>
                  <a:srgbClr val="000000"/>
                </a:solidFill>
                <a:prstDash val="solid"/>
              </a:ln>
            </c:spPr>
          </c:dPt>
          <c:dPt>
            <c:idx val="1"/>
            <c:bubble3D val="0"/>
          </c:dPt>
          <c:dPt>
            <c:idx val="2"/>
            <c:bubble3D val="0"/>
            <c:spPr>
              <a:solidFill>
                <a:srgbClr val="FFFFCC"/>
              </a:solidFill>
              <a:ln w="12706">
                <a:solidFill>
                  <a:srgbClr val="000000"/>
                </a:solidFill>
                <a:prstDash val="solid"/>
              </a:ln>
            </c:spPr>
          </c:dPt>
          <c:dLbls>
            <c:numFmt formatCode="0%" sourceLinked="0"/>
            <c:spPr>
              <a:noFill/>
              <a:ln w="25413">
                <a:noFill/>
              </a:ln>
            </c:spPr>
            <c:txPr>
              <a:bodyPr/>
              <a:lstStyle/>
              <a:p>
                <a:pPr>
                  <a:defRPr sz="1201" b="0" i="0" u="none" strike="noStrike" baseline="0">
                    <a:solidFill>
                      <a:srgbClr val="000000"/>
                    </a:solidFill>
                    <a:latin typeface="宋体"/>
                    <a:ea typeface="宋体"/>
                    <a:cs typeface="宋体"/>
                  </a:defRPr>
                </a:pPr>
                <a:endParaRPr lang="zh-CN"/>
              </a:p>
            </c:txPr>
            <c:showLegendKey val="0"/>
            <c:showVal val="0"/>
            <c:showCatName val="0"/>
            <c:showSerName val="0"/>
            <c:showPercent val="1"/>
            <c:showBubbleSize val="0"/>
            <c:showLeaderLines val="1"/>
          </c:dLbls>
          <c:cat>
            <c:strRef>
              <c:f>Sheet1!$B$1:$D$1</c:f>
              <c:strCache>
                <c:ptCount val="3"/>
                <c:pt idx="0">
                  <c:v>财政拨款收入</c:v>
                </c:pt>
                <c:pt idx="1">
                  <c:v>事业收入</c:v>
                </c:pt>
                <c:pt idx="2">
                  <c:v>其他收入</c:v>
                </c:pt>
              </c:strCache>
            </c:strRef>
          </c:cat>
          <c:val>
            <c:numRef>
              <c:f>Sheet1!$B$3:$D$3</c:f>
              <c:numCache>
                <c:formatCode>0%</c:formatCode>
                <c:ptCount val="3"/>
                <c:pt idx="0" formatCode="0.00%">
                  <c:v>0.47370000000000001</c:v>
                </c:pt>
                <c:pt idx="1">
                  <c:v>0.38</c:v>
                </c:pt>
                <c:pt idx="2" formatCode="0.00%">
                  <c:v>0.14610000000000001</c:v>
                </c:pt>
              </c:numCache>
            </c:numRef>
          </c:val>
        </c:ser>
        <c:dLbls>
          <c:showLegendKey val="0"/>
          <c:showVal val="0"/>
          <c:showCatName val="0"/>
          <c:showSerName val="0"/>
          <c:showPercent val="1"/>
          <c:showBubbleSize val="0"/>
          <c:showLeaderLines val="1"/>
        </c:dLbls>
        <c:firstSliceAng val="0"/>
      </c:pieChart>
      <c:spPr>
        <a:solidFill>
          <a:srgbClr val="C0C0C0"/>
        </a:solidFill>
        <a:ln w="12706">
          <a:solidFill>
            <a:srgbClr val="808080"/>
          </a:solidFill>
          <a:prstDash val="solid"/>
        </a:ln>
      </c:spPr>
    </c:plotArea>
    <c:legend>
      <c:legendPos val="r"/>
      <c:layout>
        <c:manualLayout>
          <c:xMode val="edge"/>
          <c:yMode val="edge"/>
          <c:x val="0.69077306733167088"/>
          <c:y val="0.37827715355805241"/>
          <c:w val="0.29925187032418954"/>
          <c:h val="0.23970037453183521"/>
        </c:manualLayout>
      </c:layout>
      <c:overlay val="0"/>
      <c:spPr>
        <a:noFill/>
        <a:ln w="3177">
          <a:solidFill>
            <a:srgbClr val="000000"/>
          </a:solidFill>
          <a:prstDash val="solid"/>
        </a:ln>
      </c:spPr>
      <c:txPr>
        <a:bodyPr/>
        <a:lstStyle/>
        <a:p>
          <a:pPr>
            <a:defRPr sz="1101" b="0" i="0" u="none" strike="noStrike" baseline="0">
              <a:solidFill>
                <a:srgbClr val="000000"/>
              </a:solidFill>
              <a:latin typeface="宋体"/>
              <a:ea typeface="宋体"/>
              <a:cs typeface="宋体"/>
            </a:defRPr>
          </a:pPr>
          <a:endParaRPr lang="zh-CN"/>
        </a:p>
      </c:txPr>
    </c:legend>
    <c:plotVisOnly val="1"/>
    <c:dispBlanksAs val="zero"/>
    <c:showDLblsOverMax val="0"/>
  </c:chart>
  <c:spPr>
    <a:noFill/>
    <a:ln>
      <a:noFill/>
    </a:ln>
  </c:spPr>
  <c:txPr>
    <a:bodyPr/>
    <a:lstStyle/>
    <a:p>
      <a:pPr>
        <a:defRPr sz="1201" b="0" i="0" u="none" strike="noStrike" baseline="0">
          <a:solidFill>
            <a:srgbClr val="000000"/>
          </a:solidFill>
          <a:latin typeface="宋体"/>
          <a:ea typeface="宋体"/>
          <a:cs typeface="宋体"/>
        </a:defRPr>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73049645390071"/>
          <c:y val="0.19178082191780821"/>
          <c:w val="0.43026004728132389"/>
          <c:h val="0.62328767123287676"/>
        </c:manualLayout>
      </c:layout>
      <c:pieChart>
        <c:varyColors val="1"/>
        <c:ser>
          <c:idx val="0"/>
          <c:order val="0"/>
          <c:tx>
            <c:strRef>
              <c:f>Sheet1!$A$2</c:f>
              <c:strCache>
                <c:ptCount val="1"/>
              </c:strCache>
            </c:strRef>
          </c:tx>
          <c:spPr>
            <a:solidFill>
              <a:srgbClr val="9999FF"/>
            </a:solidFill>
            <a:ln w="12692">
              <a:solidFill>
                <a:srgbClr val="000000"/>
              </a:solidFill>
              <a:prstDash val="solid"/>
            </a:ln>
          </c:spPr>
          <c:dPt>
            <c:idx val="0"/>
            <c:bubble3D val="0"/>
          </c:dPt>
          <c:dPt>
            <c:idx val="1"/>
            <c:bubble3D val="0"/>
            <c:spPr>
              <a:solidFill>
                <a:srgbClr val="993366"/>
              </a:solidFill>
              <a:ln w="12692">
                <a:solidFill>
                  <a:srgbClr val="000000"/>
                </a:solidFill>
                <a:prstDash val="solid"/>
              </a:ln>
            </c:spPr>
          </c:dPt>
          <c:dLbls>
            <c:numFmt formatCode="0%" sourceLinked="0"/>
            <c:spPr>
              <a:noFill/>
              <a:ln w="25384">
                <a:noFill/>
              </a:ln>
            </c:spPr>
            <c:txPr>
              <a:bodyPr/>
              <a:lstStyle/>
              <a:p>
                <a:pPr>
                  <a:defRPr sz="1199" b="0" i="0" u="none" strike="noStrike" baseline="0">
                    <a:solidFill>
                      <a:srgbClr val="000000"/>
                    </a:solidFill>
                    <a:latin typeface="宋体"/>
                    <a:ea typeface="宋体"/>
                    <a:cs typeface="宋体"/>
                  </a:defRPr>
                </a:pPr>
                <a:endParaRPr lang="zh-CN"/>
              </a:p>
            </c:txPr>
            <c:showLegendKey val="0"/>
            <c:showVal val="0"/>
            <c:showCatName val="0"/>
            <c:showSerName val="0"/>
            <c:showPercent val="1"/>
            <c:showBubbleSize val="0"/>
            <c:showLeaderLines val="1"/>
          </c:dLbls>
          <c:cat>
            <c:strRef>
              <c:f>Sheet1!$B$1:$C$1</c:f>
              <c:strCache>
                <c:ptCount val="2"/>
                <c:pt idx="0">
                  <c:v>基本支出</c:v>
                </c:pt>
                <c:pt idx="1">
                  <c:v>项目支出</c:v>
                </c:pt>
              </c:strCache>
            </c:strRef>
          </c:cat>
          <c:val>
            <c:numRef>
              <c:f>Sheet1!$B$2:$C$2</c:f>
              <c:numCache>
                <c:formatCode>General</c:formatCode>
                <c:ptCount val="2"/>
                <c:pt idx="0">
                  <c:v>3329.3</c:v>
                </c:pt>
                <c:pt idx="1">
                  <c:v>836.67</c:v>
                </c:pt>
              </c:numCache>
            </c:numRef>
          </c:val>
        </c:ser>
        <c:dLbls>
          <c:showLegendKey val="0"/>
          <c:showVal val="0"/>
          <c:showCatName val="0"/>
          <c:showSerName val="0"/>
          <c:showPercent val="1"/>
          <c:showBubbleSize val="0"/>
          <c:showLeaderLines val="1"/>
        </c:dLbls>
        <c:firstSliceAng val="0"/>
      </c:pieChart>
      <c:spPr>
        <a:solidFill>
          <a:srgbClr val="C0C0C0"/>
        </a:solidFill>
        <a:ln w="12692">
          <a:solidFill>
            <a:srgbClr val="808080"/>
          </a:solidFill>
          <a:prstDash val="solid"/>
        </a:ln>
      </c:spPr>
    </c:plotArea>
    <c:legend>
      <c:legendPos val="r"/>
      <c:layout>
        <c:manualLayout>
          <c:xMode val="edge"/>
          <c:yMode val="edge"/>
          <c:x val="0.78250591016548465"/>
          <c:y val="0.42808219178082191"/>
          <c:w val="0.20803782505910165"/>
          <c:h val="0.14726027397260275"/>
        </c:manualLayout>
      </c:layout>
      <c:overlay val="0"/>
      <c:spPr>
        <a:noFill/>
        <a:ln w="3173">
          <a:solidFill>
            <a:srgbClr val="000000"/>
          </a:solidFill>
          <a:prstDash val="solid"/>
        </a:ln>
      </c:spPr>
      <c:txPr>
        <a:bodyPr/>
        <a:lstStyle/>
        <a:p>
          <a:pPr>
            <a:defRPr sz="1099" b="0" i="0" u="none" strike="noStrike" baseline="0">
              <a:solidFill>
                <a:srgbClr val="000000"/>
              </a:solidFill>
              <a:latin typeface="宋体"/>
              <a:ea typeface="宋体"/>
              <a:cs typeface="宋体"/>
            </a:defRPr>
          </a:pPr>
          <a:endParaRPr lang="zh-CN"/>
        </a:p>
      </c:txPr>
    </c:legend>
    <c:plotVisOnly val="1"/>
    <c:dispBlanksAs val="zero"/>
    <c:showDLblsOverMax val="0"/>
  </c:chart>
  <c:spPr>
    <a:noFill/>
    <a:ln>
      <a:noFill/>
    </a:ln>
  </c:spPr>
  <c:txPr>
    <a:bodyPr/>
    <a:lstStyle/>
    <a:p>
      <a:pPr>
        <a:defRPr sz="1199" b="0" i="0" u="none" strike="noStrike" baseline="0">
          <a:solidFill>
            <a:srgbClr val="000000"/>
          </a:solidFill>
          <a:latin typeface="宋体"/>
          <a:ea typeface="宋体"/>
          <a:cs typeface="宋体"/>
        </a:defRPr>
      </a:pPr>
      <a:endParaRPr lang="zh-CN"/>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73049645390071"/>
          <c:y val="0.19178082191780821"/>
          <c:w val="0.43026004728132389"/>
          <c:h val="0.62328767123287676"/>
        </c:manualLayout>
      </c:layout>
      <c:pieChart>
        <c:varyColors val="1"/>
        <c:ser>
          <c:idx val="0"/>
          <c:order val="0"/>
          <c:tx>
            <c:strRef>
              <c:f>Sheet1!$A$2</c:f>
              <c:strCache>
                <c:ptCount val="1"/>
              </c:strCache>
            </c:strRef>
          </c:tx>
          <c:spPr>
            <a:solidFill>
              <a:srgbClr val="9999FF"/>
            </a:solidFill>
            <a:ln w="12692">
              <a:solidFill>
                <a:srgbClr val="000000"/>
              </a:solidFill>
              <a:prstDash val="solid"/>
            </a:ln>
          </c:spPr>
          <c:dPt>
            <c:idx val="0"/>
            <c:bubble3D val="0"/>
          </c:dPt>
          <c:dPt>
            <c:idx val="1"/>
            <c:bubble3D val="0"/>
            <c:spPr>
              <a:solidFill>
                <a:srgbClr val="993366"/>
              </a:solidFill>
              <a:ln w="12692">
                <a:solidFill>
                  <a:srgbClr val="000000"/>
                </a:solidFill>
                <a:prstDash val="solid"/>
              </a:ln>
            </c:spPr>
          </c:dPt>
          <c:dLbls>
            <c:numFmt formatCode="0%" sourceLinked="0"/>
            <c:spPr>
              <a:noFill/>
              <a:ln w="25384">
                <a:noFill/>
              </a:ln>
            </c:spPr>
            <c:txPr>
              <a:bodyPr/>
              <a:lstStyle/>
              <a:p>
                <a:pPr>
                  <a:defRPr sz="1199" b="0" i="0" u="none" strike="noStrike" baseline="0">
                    <a:solidFill>
                      <a:srgbClr val="000000"/>
                    </a:solidFill>
                    <a:latin typeface="宋体"/>
                    <a:ea typeface="宋体"/>
                    <a:cs typeface="宋体"/>
                  </a:defRPr>
                </a:pPr>
                <a:endParaRPr lang="zh-CN"/>
              </a:p>
            </c:txPr>
            <c:showLegendKey val="0"/>
            <c:showVal val="0"/>
            <c:showCatName val="0"/>
            <c:showSerName val="0"/>
            <c:showPercent val="1"/>
            <c:showBubbleSize val="0"/>
            <c:showLeaderLines val="1"/>
          </c:dLbls>
          <c:cat>
            <c:strRef>
              <c:f>Sheet1!$B$1:$C$1</c:f>
              <c:strCache>
                <c:ptCount val="2"/>
                <c:pt idx="0">
                  <c:v>基本支出</c:v>
                </c:pt>
                <c:pt idx="1">
                  <c:v>项目支出</c:v>
                </c:pt>
              </c:strCache>
            </c:strRef>
          </c:cat>
          <c:val>
            <c:numRef>
              <c:f>Sheet1!$B$2:$C$2</c:f>
              <c:numCache>
                <c:formatCode>General</c:formatCode>
                <c:ptCount val="2"/>
                <c:pt idx="0">
                  <c:v>3329.3</c:v>
                </c:pt>
                <c:pt idx="1">
                  <c:v>836.67</c:v>
                </c:pt>
              </c:numCache>
            </c:numRef>
          </c:val>
        </c:ser>
        <c:dLbls>
          <c:showLegendKey val="0"/>
          <c:showVal val="0"/>
          <c:showCatName val="0"/>
          <c:showSerName val="0"/>
          <c:showPercent val="1"/>
          <c:showBubbleSize val="0"/>
          <c:showLeaderLines val="1"/>
        </c:dLbls>
        <c:firstSliceAng val="0"/>
      </c:pieChart>
      <c:spPr>
        <a:solidFill>
          <a:srgbClr val="C0C0C0"/>
        </a:solidFill>
        <a:ln w="12692">
          <a:solidFill>
            <a:srgbClr val="808080"/>
          </a:solidFill>
          <a:prstDash val="solid"/>
        </a:ln>
      </c:spPr>
    </c:plotArea>
    <c:legend>
      <c:legendPos val="r"/>
      <c:layout>
        <c:manualLayout>
          <c:xMode val="edge"/>
          <c:yMode val="edge"/>
          <c:x val="0.78250591016548465"/>
          <c:y val="0.42808219178082191"/>
          <c:w val="0.20803782505910165"/>
          <c:h val="0.14726027397260275"/>
        </c:manualLayout>
      </c:layout>
      <c:overlay val="0"/>
      <c:spPr>
        <a:noFill/>
        <a:ln w="3173">
          <a:solidFill>
            <a:srgbClr val="000000"/>
          </a:solidFill>
          <a:prstDash val="solid"/>
        </a:ln>
      </c:spPr>
      <c:txPr>
        <a:bodyPr/>
        <a:lstStyle/>
        <a:p>
          <a:pPr>
            <a:defRPr sz="1099" b="0" i="0" u="none" strike="noStrike" baseline="0">
              <a:solidFill>
                <a:srgbClr val="000000"/>
              </a:solidFill>
              <a:latin typeface="宋体"/>
              <a:ea typeface="宋体"/>
              <a:cs typeface="宋体"/>
            </a:defRPr>
          </a:pPr>
          <a:endParaRPr lang="zh-CN"/>
        </a:p>
      </c:txPr>
    </c:legend>
    <c:plotVisOnly val="1"/>
    <c:dispBlanksAs val="zero"/>
    <c:showDLblsOverMax val="0"/>
  </c:chart>
  <c:spPr>
    <a:noFill/>
    <a:ln>
      <a:noFill/>
    </a:ln>
  </c:spPr>
  <c:txPr>
    <a:bodyPr/>
    <a:lstStyle/>
    <a:p>
      <a:pPr>
        <a:defRPr sz="1199" b="0" i="0" u="none" strike="noStrike" baseline="0">
          <a:solidFill>
            <a:srgbClr val="000000"/>
          </a:solidFill>
          <a:latin typeface="宋体"/>
          <a:ea typeface="宋体"/>
          <a:cs typeface="宋体"/>
        </a:defRPr>
      </a:pPr>
      <a:endParaRPr lang="zh-CN"/>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73049645390071"/>
          <c:y val="0.19178082191780821"/>
          <c:w val="0.43026004728132389"/>
          <c:h val="0.62328767123287676"/>
        </c:manualLayout>
      </c:layout>
      <c:pieChart>
        <c:varyColors val="1"/>
        <c:ser>
          <c:idx val="0"/>
          <c:order val="0"/>
          <c:tx>
            <c:strRef>
              <c:f>Sheet1!$A$2</c:f>
              <c:strCache>
                <c:ptCount val="1"/>
              </c:strCache>
            </c:strRef>
          </c:tx>
          <c:spPr>
            <a:solidFill>
              <a:srgbClr val="9999FF"/>
            </a:solidFill>
            <a:ln w="12692">
              <a:solidFill>
                <a:srgbClr val="000000"/>
              </a:solidFill>
              <a:prstDash val="solid"/>
            </a:ln>
          </c:spPr>
          <c:dPt>
            <c:idx val="0"/>
            <c:bubble3D val="0"/>
          </c:dPt>
          <c:dPt>
            <c:idx val="1"/>
            <c:bubble3D val="0"/>
            <c:spPr>
              <a:solidFill>
                <a:srgbClr val="993366"/>
              </a:solidFill>
              <a:ln w="12692">
                <a:solidFill>
                  <a:srgbClr val="000000"/>
                </a:solidFill>
                <a:prstDash val="solid"/>
              </a:ln>
            </c:spPr>
          </c:dPt>
          <c:dLbls>
            <c:numFmt formatCode="0%" sourceLinked="0"/>
            <c:spPr>
              <a:noFill/>
              <a:ln w="25384">
                <a:noFill/>
              </a:ln>
            </c:spPr>
            <c:txPr>
              <a:bodyPr/>
              <a:lstStyle/>
              <a:p>
                <a:pPr>
                  <a:defRPr sz="1199" b="0" i="0" u="none" strike="noStrike" baseline="0">
                    <a:solidFill>
                      <a:srgbClr val="000000"/>
                    </a:solidFill>
                    <a:latin typeface="宋体"/>
                    <a:ea typeface="宋体"/>
                    <a:cs typeface="宋体"/>
                  </a:defRPr>
                </a:pPr>
                <a:endParaRPr lang="zh-CN"/>
              </a:p>
            </c:txPr>
            <c:showLegendKey val="0"/>
            <c:showVal val="0"/>
            <c:showCatName val="0"/>
            <c:showSerName val="0"/>
            <c:showPercent val="1"/>
            <c:showBubbleSize val="0"/>
            <c:showLeaderLines val="1"/>
          </c:dLbls>
          <c:cat>
            <c:strRef>
              <c:f>Sheet1!$B$1:$C$1</c:f>
              <c:strCache>
                <c:ptCount val="2"/>
                <c:pt idx="0">
                  <c:v>基本支出</c:v>
                </c:pt>
                <c:pt idx="1">
                  <c:v>项目支出</c:v>
                </c:pt>
              </c:strCache>
            </c:strRef>
          </c:cat>
          <c:val>
            <c:numRef>
              <c:f>Sheet1!$B$2:$C$2</c:f>
              <c:numCache>
                <c:formatCode>General</c:formatCode>
                <c:ptCount val="2"/>
                <c:pt idx="0">
                  <c:v>3329.3</c:v>
                </c:pt>
                <c:pt idx="1">
                  <c:v>836.67</c:v>
                </c:pt>
              </c:numCache>
            </c:numRef>
          </c:val>
        </c:ser>
        <c:dLbls>
          <c:showLegendKey val="0"/>
          <c:showVal val="0"/>
          <c:showCatName val="0"/>
          <c:showSerName val="0"/>
          <c:showPercent val="1"/>
          <c:showBubbleSize val="0"/>
          <c:showLeaderLines val="1"/>
        </c:dLbls>
        <c:firstSliceAng val="0"/>
      </c:pieChart>
      <c:spPr>
        <a:solidFill>
          <a:srgbClr val="C0C0C0"/>
        </a:solidFill>
        <a:ln w="12692">
          <a:solidFill>
            <a:srgbClr val="808080"/>
          </a:solidFill>
          <a:prstDash val="solid"/>
        </a:ln>
      </c:spPr>
    </c:plotArea>
    <c:legend>
      <c:legendPos val="r"/>
      <c:layout>
        <c:manualLayout>
          <c:xMode val="edge"/>
          <c:yMode val="edge"/>
          <c:x val="0.78250591016548465"/>
          <c:y val="0.42808219178082191"/>
          <c:w val="0.20803782505910165"/>
          <c:h val="0.14726027397260275"/>
        </c:manualLayout>
      </c:layout>
      <c:overlay val="0"/>
      <c:spPr>
        <a:noFill/>
        <a:ln w="3173">
          <a:solidFill>
            <a:srgbClr val="000000"/>
          </a:solidFill>
          <a:prstDash val="solid"/>
        </a:ln>
      </c:spPr>
      <c:txPr>
        <a:bodyPr/>
        <a:lstStyle/>
        <a:p>
          <a:pPr>
            <a:defRPr sz="1099" b="0" i="0" u="none" strike="noStrike" baseline="0">
              <a:solidFill>
                <a:srgbClr val="000000"/>
              </a:solidFill>
              <a:latin typeface="宋体"/>
              <a:ea typeface="宋体"/>
              <a:cs typeface="宋体"/>
            </a:defRPr>
          </a:pPr>
          <a:endParaRPr lang="zh-CN"/>
        </a:p>
      </c:txPr>
    </c:legend>
    <c:plotVisOnly val="1"/>
    <c:dispBlanksAs val="zero"/>
    <c:showDLblsOverMax val="0"/>
  </c:chart>
  <c:spPr>
    <a:noFill/>
    <a:ln>
      <a:noFill/>
    </a:ln>
  </c:spPr>
  <c:txPr>
    <a:bodyPr/>
    <a:lstStyle/>
    <a:p>
      <a:pPr>
        <a:defRPr sz="1199" b="0" i="0" u="none" strike="noStrike" baseline="0">
          <a:solidFill>
            <a:srgbClr val="000000"/>
          </a:solidFill>
          <a:latin typeface="宋体"/>
          <a:ea typeface="宋体"/>
          <a:cs typeface="宋体"/>
        </a:defRPr>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36</Pages>
  <Words>2364</Words>
  <Characters>13480</Characters>
  <Application>Microsoft Office Word</Application>
  <DocSecurity>0</DocSecurity>
  <Lines>112</Lines>
  <Paragraphs>31</Paragraphs>
  <ScaleCrop>false</ScaleCrop>
  <Company>Lenovo</Company>
  <LinksUpToDate>false</LinksUpToDate>
  <CharactersWithSpaces>15813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zxf</cp:lastModifiedBy>
  <cp:revision>27</cp:revision>
  <cp:lastPrinted>2020-08-07T11:39:00Z</cp:lastPrinted>
  <dcterms:created xsi:type="dcterms:W3CDTF">2017-07-11T15:16:00Z</dcterms:created>
  <dcterms:modified xsi:type="dcterms:W3CDTF">2024-09-09T06:10:00Z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435078ACFECC4A5A8A519EF4C3681114_13</vt:lpwstr>
  </property>
</Properties>
</file>