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4"/>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北京市文物局本级事业</w:t>
      </w:r>
    </w:p>
    <w:p>
      <w:pPr>
        <w:pStyle w:val="4"/>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pStyle w:val="4"/>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1.机构设置</w:t>
      </w:r>
    </w:p>
    <w:p>
      <w:pPr>
        <w:ind w:firstLine="560" w:firstLineChars="200"/>
        <w:rPr>
          <w:rFonts w:ascii="仿宋_GB2312" w:eastAsia="仿宋_GB2312"/>
          <w:sz w:val="28"/>
          <w:szCs w:val="28"/>
        </w:rPr>
      </w:pPr>
      <w:r>
        <w:rPr>
          <w:rFonts w:hint="eastAsia" w:ascii="仿宋_GB2312" w:eastAsia="仿宋_GB2312"/>
          <w:sz w:val="28"/>
          <w:szCs w:val="28"/>
          <w:lang w:eastAsia="zh-CN"/>
        </w:rPr>
        <w:t>北</w:t>
      </w:r>
      <w:r>
        <w:rPr>
          <w:rFonts w:hint="eastAsia" w:ascii="仿宋_GB2312" w:eastAsia="仿宋_GB2312"/>
          <w:sz w:val="28"/>
          <w:szCs w:val="28"/>
        </w:rPr>
        <w:t>京市文物局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p>
    <w:p>
      <w:pPr>
        <w:tabs>
          <w:tab w:val="center" w:pos="6979"/>
        </w:tabs>
        <w:spacing w:line="580" w:lineRule="exact"/>
        <w:ind w:firstLine="560" w:firstLineChars="200"/>
        <w:rPr>
          <w:rFonts w:hint="eastAsia" w:ascii="仿宋_GB2312" w:hAnsi="Times New Roman" w:eastAsia="仿宋_GB2312" w:cs="Droid Sans"/>
          <w:b w:val="0"/>
          <w:bCs w:val="0"/>
          <w:kern w:val="2"/>
          <w:sz w:val="32"/>
        </w:rPr>
      </w:pPr>
      <w:r>
        <w:rPr>
          <w:rFonts w:hint="eastAsia" w:ascii="仿宋_GB2312" w:hAnsi="Times New Roman" w:eastAsia="仿宋_GB2312" w:cs="Droid Sans"/>
          <w:b w:val="0"/>
          <w:bCs w:val="0"/>
          <w:kern w:val="2"/>
          <w:sz w:val="28"/>
          <w:szCs w:val="28"/>
        </w:rPr>
        <w:t>北京市文物局17个单位参加了202</w:t>
      </w:r>
      <w:r>
        <w:rPr>
          <w:rFonts w:hint="eastAsia" w:ascii="仿宋_GB2312" w:eastAsia="仿宋_GB2312" w:cs="Droid Sans"/>
          <w:b w:val="0"/>
          <w:bCs w:val="0"/>
          <w:kern w:val="2"/>
          <w:sz w:val="28"/>
          <w:szCs w:val="28"/>
          <w:lang w:val="en-US" w:eastAsia="zh-CN"/>
        </w:rPr>
        <w:t>3</w:t>
      </w:r>
      <w:r>
        <w:rPr>
          <w:rFonts w:hint="eastAsia" w:ascii="仿宋_GB2312" w:hAnsi="Times New Roman" w:eastAsia="仿宋_GB2312" w:cs="Droid Sans"/>
          <w:b w:val="0"/>
          <w:bCs w:val="0"/>
          <w:kern w:val="2"/>
          <w:sz w:val="28"/>
          <w:szCs w:val="28"/>
        </w:rPr>
        <w:t>年度部门</w:t>
      </w:r>
      <w:r>
        <w:rPr>
          <w:rFonts w:hint="eastAsia" w:ascii="仿宋_GB2312" w:eastAsia="仿宋_GB2312" w:cs="Droid Sans"/>
          <w:b w:val="0"/>
          <w:bCs w:val="0"/>
          <w:kern w:val="2"/>
          <w:sz w:val="28"/>
          <w:szCs w:val="28"/>
          <w:lang w:eastAsia="zh-CN"/>
        </w:rPr>
        <w:t>决算</w:t>
      </w:r>
      <w:r>
        <w:rPr>
          <w:rFonts w:hint="eastAsia" w:ascii="仿宋_GB2312" w:hAnsi="Times New Roman" w:eastAsia="仿宋_GB2312" w:cs="Droid Sans"/>
          <w:b w:val="0"/>
          <w:bCs w:val="0"/>
          <w:kern w:val="2"/>
          <w:sz w:val="28"/>
          <w:szCs w:val="28"/>
        </w:rPr>
        <w:t>，包括北京市文物局本级（含本级行政及本级事业）、首都博物馆（含老舍纪念馆、北京市白塔寺管理处、北京文博交流馆三个分支机构）、北京石刻艺术博物馆、徐悲鸿纪念馆、大钟寺古钟博物馆、北京艺术博物馆、北京古代建筑博物馆、北京市文物工程质量监督站、孔庙和国子监博物馆、北京市文物进出境鉴定所、北京市文博发展中心、北京市文物局综合事务中心、北京考古遗址博物馆、北京中轴线遗产保护中心（北京世界文化遗产监测中心）、北京大觉寺与团城管理处、</w:t>
      </w:r>
      <w:r>
        <w:rPr>
          <w:rFonts w:hint="eastAsia" w:ascii="仿宋_GB2312" w:eastAsia="仿宋_GB2312"/>
          <w:b w:val="0"/>
          <w:bCs w:val="0"/>
          <w:color w:val="000000"/>
          <w:sz w:val="28"/>
          <w:szCs w:val="28"/>
        </w:rPr>
        <w:t>北京市考古研究院（北京市文化遗产研究院）</w:t>
      </w:r>
      <w:r>
        <w:rPr>
          <w:rFonts w:hint="eastAsia" w:ascii="仿宋_GB2312" w:hAnsi="Times New Roman" w:eastAsia="仿宋_GB2312" w:cs="Droid Sans"/>
          <w:b w:val="0"/>
          <w:bCs w:val="0"/>
          <w:kern w:val="2"/>
          <w:sz w:val="28"/>
          <w:szCs w:val="28"/>
        </w:rPr>
        <w:t>、北京中轴线申遗保护工作办公室（临时工作机构）等。</w:t>
      </w:r>
    </w:p>
    <w:p>
      <w:pPr>
        <w:numPr>
          <w:ilvl w:val="0"/>
          <w:numId w:val="0"/>
        </w:numPr>
        <w:tabs>
          <w:tab w:val="center" w:pos="6979"/>
        </w:tabs>
        <w:spacing w:line="580" w:lineRule="exact"/>
        <w:ind w:firstLine="560" w:firstLineChars="200"/>
        <w:rPr>
          <w:rFonts w:hint="eastAsia" w:ascii="CESI仿宋-GB2312" w:hAnsi="CESI仿宋-GB2312" w:eastAsia="CESI仿宋-GB2312" w:cs="CESI仿宋-GB2312"/>
          <w:sz w:val="28"/>
          <w:szCs w:val="28"/>
          <w:lang w:val="en-US" w:eastAsia="zh-CN"/>
        </w:rPr>
      </w:pPr>
      <w:r>
        <w:rPr>
          <w:rFonts w:hint="eastAsia" w:ascii="CESI仿宋-GB2312" w:hAnsi="CESI仿宋-GB2312" w:eastAsia="CESI仿宋-GB2312" w:cs="CESI仿宋-GB2312"/>
          <w:sz w:val="28"/>
          <w:szCs w:val="28"/>
          <w:lang w:val="en-US" w:eastAsia="zh-CN"/>
        </w:rPr>
        <w:t>2.职责</w:t>
      </w:r>
    </w:p>
    <w:p>
      <w:pPr>
        <w:pStyle w:val="8"/>
        <w:numPr>
          <w:ilvl w:val="0"/>
          <w:numId w:val="0"/>
        </w:numPr>
        <w:ind w:left="525" w:leftChars="0"/>
        <w:rPr>
          <w:rFonts w:hint="eastAsia"/>
          <w:lang w:val="en-US" w:eastAsia="zh-CN"/>
        </w:rPr>
      </w:pPr>
    </w:p>
    <w:p>
      <w:pPr>
        <w:ind w:firstLine="420" w:firstLineChars="200"/>
        <w:rPr>
          <w:rFonts w:hint="eastAsia" w:ascii="仿宋_GB2312" w:eastAsia="仿宋_GB2312"/>
          <w:sz w:val="28"/>
          <w:szCs w:val="28"/>
        </w:rPr>
      </w:pPr>
      <w:r>
        <w:rPr>
          <w:rFonts w:hint="eastAsia"/>
          <w:lang w:val="en-US" w:eastAsia="zh-CN"/>
        </w:rPr>
        <w:t xml:space="preserve">    </w:t>
      </w:r>
      <w:r>
        <w:rPr>
          <w:rFonts w:hint="eastAsia"/>
          <w:sz w:val="28"/>
          <w:szCs w:val="28"/>
          <w:lang w:val="en-US" w:eastAsia="zh-CN"/>
        </w:rPr>
        <w:t xml:space="preserve"> </w:t>
      </w:r>
      <w:r>
        <w:rPr>
          <w:rFonts w:hint="eastAsia" w:ascii="仿宋_GB2312" w:hAnsi="simsun" w:eastAsia="仿宋_GB2312"/>
          <w:color w:val="404040"/>
          <w:sz w:val="28"/>
          <w:szCs w:val="28"/>
          <w:shd w:val="clear" w:color="auto" w:fill="FFFFFF"/>
        </w:rPr>
        <w:t>北京市文物局是负责本市文物和博物馆事业管理工作的市政府直属机构。</w:t>
      </w:r>
      <w:r>
        <w:rPr>
          <w:rFonts w:hint="eastAsia" w:ascii="仿宋_GB2312" w:eastAsia="仿宋_GB2312"/>
          <w:sz w:val="28"/>
          <w:szCs w:val="28"/>
        </w:rPr>
        <w:t>上级业务主管部门为国家文物局。主要职责如下：</w:t>
      </w:r>
    </w:p>
    <w:p>
      <w:pPr>
        <w:rPr>
          <w:rFonts w:ascii="仿宋_GB2312" w:eastAsia="仿宋_GB2312"/>
          <w:sz w:val="28"/>
          <w:szCs w:val="28"/>
        </w:rPr>
      </w:pPr>
      <w:r>
        <w:rPr>
          <w:rFonts w:hint="eastAsia" w:ascii="仿宋_GB2312" w:hAnsi="Calibri" w:eastAsia="仿宋_GB2312"/>
          <w:sz w:val="28"/>
          <w:szCs w:val="28"/>
        </w:rPr>
        <w:t xml:space="preserve">    （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rPr>
          <w:rFonts w:ascii="仿宋_GB2312" w:hAnsi="Calibri" w:eastAsia="仿宋_GB2312"/>
          <w:sz w:val="28"/>
          <w:szCs w:val="28"/>
        </w:rPr>
      </w:pPr>
      <w:r>
        <w:rPr>
          <w:rFonts w:hint="eastAsia" w:ascii="仿宋_GB2312" w:hAnsi="Calibri" w:eastAsia="仿宋_GB2312"/>
          <w:sz w:val="28"/>
          <w:szCs w:val="28"/>
        </w:rPr>
        <w:t xml:space="preserve">    （2）负责本市世界文化遗产和文物保护单位管理工作，会同有关部门负责历史文化名城（镇、村）保护和监督管理工作，研究提出文物保护单位保护范围和建设控制地带的意见。</w:t>
      </w:r>
    </w:p>
    <w:p>
      <w:pPr>
        <w:rPr>
          <w:rFonts w:ascii="仿宋_GB2312" w:hAnsi="Calibri" w:eastAsia="仿宋_GB2312"/>
          <w:sz w:val="28"/>
          <w:szCs w:val="28"/>
        </w:rPr>
      </w:pPr>
      <w:r>
        <w:rPr>
          <w:rFonts w:hint="eastAsia" w:ascii="仿宋_GB2312" w:hAnsi="Calibri" w:eastAsia="仿宋_GB2312"/>
          <w:sz w:val="28"/>
          <w:szCs w:val="28"/>
        </w:rPr>
        <w:t xml:space="preserve">    （3）指导本市博物馆的业务工作，组织博物馆间的交流与协作，负责博物馆馆藏文物鉴定、登记、借用、调拨和交换的管理工作。</w:t>
      </w:r>
    </w:p>
    <w:p>
      <w:pPr>
        <w:ind w:firstLine="636"/>
        <w:rPr>
          <w:rFonts w:ascii="仿宋_GB2312" w:hAnsi="Calibri" w:eastAsia="仿宋_GB2312"/>
          <w:sz w:val="28"/>
          <w:szCs w:val="28"/>
        </w:rPr>
      </w:pPr>
      <w:r>
        <w:rPr>
          <w:rFonts w:hint="eastAsia" w:ascii="仿宋_GB2312" w:hAnsi="Calibri" w:eastAsia="仿宋_GB2312"/>
          <w:sz w:val="28"/>
          <w:szCs w:val="28"/>
        </w:rPr>
        <w:t>（4）负责本市的考古调查、勘探和发掘工作；会同有关部门研究提出保护地下文物埋藏区的意见；负责出土文物的调用。</w:t>
      </w:r>
    </w:p>
    <w:p>
      <w:pPr>
        <w:ind w:firstLine="636"/>
        <w:rPr>
          <w:rFonts w:ascii="仿宋_GB2312" w:hAnsi="Calibri" w:eastAsia="仿宋_GB2312"/>
          <w:sz w:val="28"/>
          <w:szCs w:val="28"/>
        </w:rPr>
      </w:pPr>
      <w:r>
        <w:rPr>
          <w:rFonts w:hint="eastAsia" w:ascii="仿宋_GB2312" w:hAnsi="Calibri" w:eastAsia="仿宋_GB2312"/>
          <w:sz w:val="28"/>
          <w:szCs w:val="28"/>
        </w:rPr>
        <w:t>（5）负责管理本市民间收藏文物及其流通活动；培育、引导和扶持文物和博物馆领域相关产业健康发展。</w:t>
      </w:r>
    </w:p>
    <w:p>
      <w:pPr>
        <w:rPr>
          <w:rFonts w:ascii="仿宋_GB2312" w:hAnsi="Calibri" w:eastAsia="仿宋_GB2312"/>
          <w:sz w:val="28"/>
          <w:szCs w:val="28"/>
        </w:rPr>
      </w:pPr>
      <w:r>
        <w:rPr>
          <w:rFonts w:hint="eastAsia" w:ascii="仿宋_GB2312" w:hAnsi="Calibri" w:eastAsia="仿宋_GB2312"/>
          <w:sz w:val="28"/>
          <w:szCs w:val="28"/>
        </w:rPr>
        <w:t xml:space="preserve">    （6）负责本市文物和博物馆有关审核、审批事务及相关资质资格认定的管理工作。</w:t>
      </w:r>
    </w:p>
    <w:p>
      <w:pPr>
        <w:rPr>
          <w:rFonts w:ascii="仿宋_GB2312" w:hAnsi="Calibri" w:eastAsia="仿宋_GB2312"/>
          <w:sz w:val="28"/>
          <w:szCs w:val="28"/>
        </w:rPr>
      </w:pPr>
      <w:r>
        <w:rPr>
          <w:rFonts w:hint="eastAsia" w:ascii="仿宋_GB2312" w:hAnsi="Calibri" w:eastAsia="仿宋_GB2312"/>
          <w:sz w:val="28"/>
          <w:szCs w:val="28"/>
        </w:rPr>
        <w:t xml:space="preserve">    （7）</w:t>
      </w:r>
      <w:r>
        <w:rPr>
          <w:rFonts w:hint="eastAsia" w:ascii="仿宋_GB2312" w:hAnsi="Calibri" w:eastAsia="仿宋_GB2312"/>
          <w:color w:val="000000"/>
          <w:sz w:val="28"/>
          <w:szCs w:val="28"/>
        </w:rPr>
        <w:t>依法负责本市文物行政执法工作，组织查处有关文物的违法违章案件；</w:t>
      </w:r>
      <w:r>
        <w:rPr>
          <w:rFonts w:hint="eastAsia" w:ascii="仿宋_GB2312" w:hAnsi="Calibri" w:eastAsia="仿宋_GB2312"/>
          <w:sz w:val="28"/>
          <w:szCs w:val="28"/>
        </w:rPr>
        <w:t>承担文物和博物馆安全工作的管理责任。</w:t>
      </w:r>
    </w:p>
    <w:p>
      <w:pPr>
        <w:rPr>
          <w:rFonts w:ascii="仿宋_GB2312" w:hAnsi="Calibri" w:eastAsia="仿宋_GB2312"/>
          <w:sz w:val="28"/>
          <w:szCs w:val="28"/>
        </w:rPr>
      </w:pPr>
      <w:r>
        <w:rPr>
          <w:rFonts w:hint="eastAsia" w:ascii="仿宋_GB2312" w:hAnsi="Calibri" w:eastAsia="仿宋_GB2312"/>
          <w:sz w:val="28"/>
          <w:szCs w:val="28"/>
        </w:rPr>
        <w:t xml:space="preserve">    （8）负责本市文物保护的宣传工作；组织与国（境）内外的文物交流和展示活动。</w:t>
      </w:r>
    </w:p>
    <w:p>
      <w:pPr>
        <w:rPr>
          <w:rFonts w:ascii="仿宋_GB2312" w:hAnsi="Calibri" w:eastAsia="仿宋_GB2312"/>
          <w:sz w:val="28"/>
          <w:szCs w:val="28"/>
        </w:rPr>
      </w:pPr>
      <w:r>
        <w:rPr>
          <w:rFonts w:hint="eastAsia" w:ascii="仿宋_GB2312" w:hAnsi="Calibri" w:eastAsia="仿宋_GB2312"/>
          <w:sz w:val="28"/>
          <w:szCs w:val="28"/>
        </w:rPr>
        <w:t xml:space="preserve">    （9）规划、指导本市文物和博物馆领域专业人员培训工作；组织文物和博物馆领域科学研究及交流、文物科学保护工作。</w:t>
      </w:r>
    </w:p>
    <w:p>
      <w:pPr>
        <w:pStyle w:val="4"/>
      </w:pPr>
      <w:r>
        <w:rPr>
          <w:rFonts w:hint="eastAsia" w:ascii="仿宋_GB2312" w:hAnsi="Calibri" w:eastAsia="仿宋_GB2312"/>
          <w:sz w:val="28"/>
          <w:szCs w:val="28"/>
        </w:rPr>
        <w:t>（10）承办市政府交办的其他事项。</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北京市文物局本级事业2023年决算只涉及项目经费，人员及公用</w:t>
      </w:r>
      <w:bookmarkStart w:id="0" w:name="_GoBack"/>
      <w:bookmarkEnd w:id="0"/>
      <w:r>
        <w:rPr>
          <w:rFonts w:hint="eastAsia" w:ascii="仿宋_GB2312" w:hAnsi="仿宋_GB2312" w:eastAsia="仿宋_GB2312" w:cs="仿宋_GB2312"/>
          <w:sz w:val="28"/>
          <w:szCs w:val="28"/>
          <w:lang w:val="en-US" w:eastAsia="zh-CN"/>
        </w:rPr>
        <w:t>经费在本级行政反映，故无人员编制及实有人员情况。</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6885.11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76.47</w:t>
      </w:r>
      <w:r>
        <w:rPr>
          <w:rFonts w:hint="eastAsia" w:ascii="仿宋_GB2312" w:eastAsia="仿宋_GB2312"/>
          <w:sz w:val="28"/>
          <w:szCs w:val="28"/>
        </w:rPr>
        <w:t>万元，增长</w:t>
      </w:r>
      <w:r>
        <w:rPr>
          <w:rFonts w:hint="eastAsia" w:ascii="仿宋_GB2312" w:eastAsia="仿宋_GB2312"/>
          <w:sz w:val="28"/>
          <w:szCs w:val="28"/>
          <w:lang w:val="en-US" w:eastAsia="zh-CN"/>
        </w:rPr>
        <w:t>1.12</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4439.57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572.53</w:t>
      </w:r>
      <w:r>
        <w:rPr>
          <w:rFonts w:hint="eastAsia" w:ascii="仿宋_GB2312" w:eastAsia="仿宋_GB2312"/>
          <w:sz w:val="28"/>
          <w:szCs w:val="28"/>
        </w:rPr>
        <w:t>万元，增长</w:t>
      </w:r>
      <w:r>
        <w:rPr>
          <w:rFonts w:hint="eastAsia" w:ascii="仿宋_GB2312" w:eastAsia="仿宋_GB2312"/>
          <w:sz w:val="28"/>
          <w:szCs w:val="28"/>
          <w:lang w:val="en-US" w:eastAsia="zh-CN"/>
        </w:rPr>
        <w:t>12.90</w:t>
      </w:r>
      <w:r>
        <w:rPr>
          <w:rFonts w:hint="eastAsia" w:ascii="仿宋_GB2312" w:eastAsia="仿宋_GB2312"/>
          <w:sz w:val="28"/>
          <w:szCs w:val="28"/>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3801.31</w:t>
      </w:r>
      <w:r>
        <w:rPr>
          <w:rFonts w:hint="eastAsia" w:ascii="仿宋_GB2312" w:eastAsia="仿宋_GB2312"/>
          <w:sz w:val="28"/>
          <w:szCs w:val="28"/>
        </w:rPr>
        <w:t>万元，占收入合计的</w:t>
      </w:r>
      <w:r>
        <w:rPr>
          <w:rFonts w:hint="eastAsia" w:ascii="仿宋_GB2312" w:eastAsia="仿宋_GB2312"/>
          <w:sz w:val="28"/>
          <w:szCs w:val="28"/>
          <w:lang w:eastAsia="zh-CN"/>
        </w:rPr>
        <w:t>85.62</w:t>
      </w:r>
      <w:r>
        <w:rPr>
          <w:rFonts w:hint="eastAsia" w:ascii="仿宋_GB2312" w:eastAsia="仿宋_GB2312"/>
          <w:sz w:val="28"/>
          <w:szCs w:val="28"/>
        </w:rPr>
        <w:t>%。其中：一般公共预算财政拨款收入</w:t>
      </w:r>
      <w:r>
        <w:rPr>
          <w:rFonts w:ascii="仿宋_GB2312" w:eastAsia="仿宋_GB2312"/>
          <w:sz w:val="28"/>
          <w:szCs w:val="28"/>
        </w:rPr>
        <w:t>3801.31</w:t>
      </w:r>
      <w:r>
        <w:rPr>
          <w:rFonts w:hint="eastAsia" w:ascii="仿宋_GB2312" w:eastAsia="仿宋_GB2312"/>
          <w:sz w:val="28"/>
          <w:szCs w:val="28"/>
        </w:rPr>
        <w:t>万元，占收入合计的</w:t>
      </w:r>
      <w:r>
        <w:rPr>
          <w:rFonts w:hint="eastAsia" w:ascii="仿宋_GB2312" w:eastAsia="仿宋_GB2312"/>
          <w:sz w:val="28"/>
          <w:szCs w:val="28"/>
          <w:lang w:eastAsia="zh-CN"/>
        </w:rPr>
        <w:t>85.6</w:t>
      </w:r>
      <w:r>
        <w:rPr>
          <w:rFonts w:hint="eastAsia" w:ascii="仿宋_GB2312" w:eastAsia="仿宋_GB2312"/>
          <w:sz w:val="28"/>
          <w:szCs w:val="28"/>
          <w:lang w:val="en-US" w:eastAsia="zh-CN"/>
        </w:rPr>
        <w:t>3</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638.27</w:t>
      </w:r>
      <w:r>
        <w:rPr>
          <w:rFonts w:hint="eastAsia" w:ascii="仿宋_GB2312" w:eastAsia="仿宋_GB2312"/>
          <w:sz w:val="28"/>
          <w:szCs w:val="28"/>
        </w:rPr>
        <w:t>万元，占收入合计的</w:t>
      </w:r>
      <w:r>
        <w:rPr>
          <w:rFonts w:hint="eastAsia" w:ascii="仿宋_GB2312" w:eastAsia="仿宋_GB2312"/>
          <w:sz w:val="28"/>
          <w:szCs w:val="28"/>
          <w:lang w:eastAsia="zh-CN"/>
        </w:rPr>
        <w:t>14.37</w:t>
      </w:r>
      <w:r>
        <w:rPr>
          <w:rFonts w:hint="eastAsia" w:ascii="仿宋_GB2312" w:eastAsia="仿宋_GB2312"/>
          <w:sz w:val="28"/>
          <w:szCs w:val="28"/>
        </w:rPr>
        <w:t>%。</w:t>
      </w:r>
    </w:p>
    <w:p>
      <w:pPr>
        <w:spacing w:line="560" w:lineRule="exact"/>
        <w:ind w:firstLine="640"/>
        <w:rPr>
          <w:rFonts w:ascii="仿宋_GB2312" w:eastAsia="仿宋_GB2312" w:cs="Droid Sans"/>
          <w:color w:val="000000"/>
          <w:sz w:val="32"/>
          <w:szCs w:val="32"/>
        </w:rPr>
      </w:pPr>
    </w:p>
    <w:p>
      <w:pPr>
        <w:pStyle w:val="3"/>
        <w:jc w:val="center"/>
        <w:rPr>
          <w:rFonts w:hint="eastAsia" w:ascii="仿宋_GB2312" w:eastAsia="仿宋_GB2312"/>
          <w:color w:val="000000"/>
          <w:sz w:val="32"/>
        </w:rPr>
      </w:pPr>
      <w:r>
        <w:rPr>
          <w:rFonts w:hint="eastAsia" w:ascii="仿宋_GB2312" w:eastAsia="仿宋_GB2312"/>
          <w:color w:val="000000"/>
          <w:sz w:val="32"/>
        </w:rPr>
        <w:t>图1：收入决算</w:t>
      </w:r>
    </w:p>
    <w:p>
      <w:pPr>
        <w:jc w:val="center"/>
      </w:pPr>
      <w: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2"/>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5374.06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1938.48</w:t>
      </w:r>
      <w:r>
        <w:rPr>
          <w:rFonts w:hint="eastAsia" w:ascii="仿宋_GB2312" w:eastAsia="仿宋_GB2312"/>
          <w:sz w:val="28"/>
          <w:szCs w:val="28"/>
        </w:rPr>
        <w:t>万元，增长</w:t>
      </w:r>
      <w:r>
        <w:rPr>
          <w:rFonts w:hint="eastAsia" w:ascii="仿宋_GB2312" w:eastAsia="仿宋_GB2312"/>
          <w:sz w:val="28"/>
          <w:szCs w:val="28"/>
          <w:lang w:val="en-US" w:eastAsia="zh-CN"/>
        </w:rPr>
        <w:t>36.07</w:t>
      </w:r>
      <w:r>
        <w:rPr>
          <w:rFonts w:hint="eastAsia" w:ascii="仿宋_GB2312" w:eastAsia="仿宋_GB2312"/>
          <w:sz w:val="28"/>
          <w:szCs w:val="28"/>
        </w:rPr>
        <w:t>%，其中：基本支出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%；项目支出</w:t>
      </w:r>
      <w:r>
        <w:rPr>
          <w:rFonts w:ascii="仿宋_GB2312" w:eastAsia="仿宋_GB2312"/>
          <w:sz w:val="28"/>
          <w:szCs w:val="28"/>
        </w:rPr>
        <w:t>5374.06</w:t>
      </w:r>
      <w:r>
        <w:rPr>
          <w:rFonts w:hint="eastAsia" w:ascii="仿宋_GB2312" w:eastAsia="仿宋_GB2312"/>
          <w:sz w:val="28"/>
          <w:szCs w:val="28"/>
        </w:rPr>
        <w:t>万元，占支出合计的</w:t>
      </w:r>
      <w:r>
        <w:rPr>
          <w:rFonts w:hint="eastAsia" w:ascii="仿宋_GB2312" w:eastAsia="仿宋_GB2312"/>
          <w:sz w:val="28"/>
          <w:szCs w:val="28"/>
          <w:lang w:eastAsia="zh-CN"/>
        </w:rPr>
        <w:t>100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640"/>
        <w:rPr>
          <w:rFonts w:ascii="仿宋_GB2312" w:eastAsia="仿宋_GB2312" w:cs="Droid Sans"/>
          <w:color w:val="000000"/>
          <w:sz w:val="32"/>
          <w:szCs w:val="32"/>
        </w:rPr>
      </w:pP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2"/>
        <w:rPr>
          <w:rFonts w:ascii="黑体" w:eastAsia="黑体"/>
          <w:b/>
          <w:sz w:val="28"/>
          <w:szCs w:val="28"/>
        </w:rPr>
      </w:pPr>
    </w:p>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4656.13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924.53</w:t>
      </w:r>
      <w:r>
        <w:rPr>
          <w:rFonts w:hint="eastAsia" w:ascii="仿宋_GB2312" w:eastAsia="仿宋_GB2312"/>
          <w:sz w:val="28"/>
          <w:szCs w:val="28"/>
        </w:rPr>
        <w:t>万元，增长</w:t>
      </w:r>
      <w:r>
        <w:rPr>
          <w:rFonts w:hint="eastAsia" w:ascii="仿宋_GB2312" w:eastAsia="仿宋_GB2312"/>
          <w:sz w:val="28"/>
          <w:szCs w:val="28"/>
          <w:lang w:val="en-US" w:eastAsia="zh-CN"/>
        </w:rPr>
        <w:t>24.78</w:t>
      </w:r>
      <w:r>
        <w:rPr>
          <w:rFonts w:hint="eastAsia" w:ascii="仿宋_GB2312" w:eastAsia="仿宋_GB2312"/>
          <w:sz w:val="28"/>
          <w:szCs w:val="28"/>
        </w:rPr>
        <w:t>%。主要原因：</w:t>
      </w:r>
      <w:r>
        <w:rPr>
          <w:rFonts w:hint="eastAsia" w:ascii="仿宋_GB2312" w:hAnsi="仿宋" w:eastAsia="仿宋_GB2312"/>
          <w:sz w:val="28"/>
          <w:szCs w:val="28"/>
          <w:lang w:val="en-US" w:eastAsia="zh-CN"/>
        </w:rPr>
        <w:t>主要是</w:t>
      </w:r>
      <w:r>
        <w:rPr>
          <w:rFonts w:hint="eastAsia" w:ascii="仿宋_GB2312" w:hAnsi="仿宋" w:eastAsia="仿宋_GB2312" w:cs="仿宋"/>
          <w:color w:val="000000"/>
          <w:sz w:val="28"/>
          <w:szCs w:val="28"/>
          <w:lang w:val="en-US" w:eastAsia="zh-CN"/>
        </w:rPr>
        <w:t>为落实市委市政府重点工作安排“社会力量兴办博物馆项目”经费约1700万元。</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ind w:firstLine="560" w:firstLineChars="200"/>
        <w:rPr>
          <w:rFonts w:hint="eastAsia" w:ascii="仿宋_GB2312" w:eastAsia="CESI仿宋-GB2312"/>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4486.92</w:t>
      </w:r>
      <w:r>
        <w:rPr>
          <w:rFonts w:hint="eastAsia" w:ascii="仿宋_GB2312" w:eastAsia="仿宋_GB2312"/>
          <w:sz w:val="28"/>
          <w:szCs w:val="28"/>
        </w:rPr>
        <w:t>万元，主要用于以下方面（按大类）：</w:t>
      </w:r>
      <w:r>
        <w:rPr>
          <w:rFonts w:hint="eastAsia" w:ascii="CESI仿宋-GB2312" w:hAnsi="CESI仿宋-GB2312" w:eastAsia="CESI仿宋-GB2312" w:cs="CESI仿宋-GB2312"/>
          <w:b w:val="0"/>
          <w:bCs/>
          <w:sz w:val="28"/>
          <w:szCs w:val="28"/>
        </w:rPr>
        <w:t>教育支出</w:t>
      </w:r>
      <w:r>
        <w:rPr>
          <w:rFonts w:hint="eastAsia" w:ascii="CESI仿宋-GB2312" w:hAnsi="CESI仿宋-GB2312" w:eastAsia="CESI仿宋-GB2312" w:cs="CESI仿宋-GB2312"/>
          <w:b w:val="0"/>
          <w:bCs/>
          <w:sz w:val="28"/>
          <w:szCs w:val="28"/>
          <w:lang w:val="en-US" w:eastAsia="zh-CN"/>
        </w:rPr>
        <w:t>79.53</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lang w:val="en-US" w:eastAsia="zh-CN"/>
        </w:rPr>
        <w:t>1.77</w:t>
      </w:r>
      <w:r>
        <w:rPr>
          <w:rFonts w:hint="eastAsia" w:ascii="CESI仿宋-GB2312" w:hAnsi="CESI仿宋-GB2312" w:eastAsia="CESI仿宋-GB2312" w:cs="CESI仿宋-GB2312"/>
          <w:b w:val="0"/>
          <w:bCs/>
          <w:sz w:val="28"/>
          <w:szCs w:val="28"/>
        </w:rPr>
        <w:t>%； 文化旅游体育与传媒支出</w:t>
      </w:r>
      <w:r>
        <w:rPr>
          <w:rFonts w:hint="eastAsia" w:ascii="CESI仿宋-GB2312" w:hAnsi="CESI仿宋-GB2312" w:eastAsia="CESI仿宋-GB2312" w:cs="CESI仿宋-GB2312"/>
          <w:b w:val="0"/>
          <w:bCs/>
          <w:sz w:val="28"/>
          <w:szCs w:val="28"/>
          <w:lang w:val="en-US" w:eastAsia="zh-CN"/>
        </w:rPr>
        <w:t>4407.39</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lang w:val="en-US" w:eastAsia="zh-CN"/>
        </w:rPr>
        <w:t>98.23</w:t>
      </w:r>
      <w:r>
        <w:rPr>
          <w:rFonts w:hint="eastAsia" w:ascii="CESI仿宋-GB2312" w:hAnsi="CESI仿宋-GB2312" w:eastAsia="CESI仿宋-GB2312" w:cs="CESI仿宋-GB2312"/>
          <w:b w:val="0"/>
          <w:bCs/>
          <w:sz w:val="28"/>
          <w:szCs w:val="28"/>
        </w:rPr>
        <w:t>%</w:t>
      </w:r>
      <w:r>
        <w:rPr>
          <w:rFonts w:hint="eastAsia" w:ascii="CESI仿宋-GB2312" w:hAnsi="CESI仿宋-GB2312" w:eastAsia="CESI仿宋-GB2312" w:cs="CESI仿宋-GB2312"/>
          <w:b w:val="0"/>
          <w:bCs/>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rPr>
        <w:t>1．“教育支出”（类）202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79.53</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减少</w:t>
      </w:r>
      <w:r>
        <w:rPr>
          <w:rFonts w:hint="eastAsia" w:ascii="CESI仿宋-GB2312" w:hAnsi="CESI仿宋-GB2312" w:eastAsia="CESI仿宋-GB2312" w:cs="CESI仿宋-GB2312"/>
          <w:b w:val="0"/>
          <w:bCs/>
          <w:sz w:val="28"/>
          <w:szCs w:val="28"/>
          <w:lang w:val="en-US" w:eastAsia="zh-CN"/>
        </w:rPr>
        <w:t>19.47</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下降</w:t>
      </w:r>
      <w:r>
        <w:rPr>
          <w:rFonts w:hint="eastAsia" w:ascii="CESI仿宋-GB2312" w:hAnsi="CESI仿宋-GB2312" w:eastAsia="CESI仿宋-GB2312" w:cs="CESI仿宋-GB2312"/>
          <w:b w:val="0"/>
          <w:bCs/>
          <w:sz w:val="28"/>
          <w:szCs w:val="28"/>
          <w:lang w:val="en-US" w:eastAsia="zh-CN"/>
        </w:rPr>
        <w:t>19.67</w:t>
      </w:r>
      <w:r>
        <w:rPr>
          <w:rFonts w:hint="eastAsia" w:ascii="CESI仿宋-GB2312" w:hAnsi="CESI仿宋-GB2312" w:eastAsia="CESI仿宋-GB2312" w:cs="CESI仿宋-GB2312"/>
          <w:b w:val="0"/>
          <w:bCs/>
          <w:sz w:val="28"/>
          <w:szCs w:val="28"/>
        </w:rPr>
        <w:t>%。其中：</w:t>
      </w:r>
    </w:p>
    <w:p>
      <w:pPr>
        <w:tabs>
          <w:tab w:val="center" w:pos="6979"/>
        </w:tabs>
        <w:spacing w:line="580" w:lineRule="exact"/>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rPr>
        <w:t>“进修及培训”（款）202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79.53</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减少</w:t>
      </w:r>
      <w:r>
        <w:rPr>
          <w:rFonts w:hint="eastAsia" w:ascii="CESI仿宋-GB2312" w:hAnsi="CESI仿宋-GB2312" w:eastAsia="CESI仿宋-GB2312" w:cs="CESI仿宋-GB2312"/>
          <w:b w:val="0"/>
          <w:bCs/>
          <w:sz w:val="28"/>
          <w:szCs w:val="28"/>
          <w:lang w:val="en-US" w:eastAsia="zh-CN"/>
        </w:rPr>
        <w:t>19.47</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下降</w:t>
      </w:r>
      <w:r>
        <w:rPr>
          <w:rFonts w:hint="eastAsia" w:ascii="CESI仿宋-GB2312" w:hAnsi="CESI仿宋-GB2312" w:eastAsia="CESI仿宋-GB2312" w:cs="CESI仿宋-GB2312"/>
          <w:b w:val="0"/>
          <w:bCs/>
          <w:sz w:val="28"/>
          <w:szCs w:val="28"/>
          <w:lang w:val="en-US" w:eastAsia="zh-CN"/>
        </w:rPr>
        <w:t>19.67</w:t>
      </w:r>
      <w:r>
        <w:rPr>
          <w:rFonts w:hint="eastAsia" w:ascii="CESI仿宋-GB2312" w:hAnsi="CESI仿宋-GB2312" w:eastAsia="CESI仿宋-GB2312" w:cs="CESI仿宋-GB2312"/>
          <w:b w:val="0"/>
          <w:bCs/>
          <w:sz w:val="28"/>
          <w:szCs w:val="28"/>
        </w:rPr>
        <w:t>%。主要原因：</w:t>
      </w:r>
      <w:r>
        <w:rPr>
          <w:rFonts w:hint="eastAsia" w:ascii="仿宋_GB2312" w:hAnsi="仿宋" w:eastAsia="仿宋_GB2312"/>
          <w:sz w:val="28"/>
          <w:szCs w:val="28"/>
        </w:rPr>
        <w:t>落实政府过紧日子要求，厉行勤俭节约要求，严格控制</w:t>
      </w:r>
      <w:r>
        <w:rPr>
          <w:rFonts w:hint="eastAsia" w:ascii="仿宋_GB2312" w:hAnsi="仿宋" w:eastAsia="仿宋_GB2312"/>
          <w:sz w:val="28"/>
          <w:szCs w:val="28"/>
          <w:lang w:eastAsia="zh-CN"/>
        </w:rPr>
        <w:t>培训费用支出</w:t>
      </w:r>
      <w:r>
        <w:rPr>
          <w:rFonts w:hint="eastAsia" w:ascii="CESI仿宋-GB2312" w:hAnsi="CESI仿宋-GB2312" w:eastAsia="CESI仿宋-GB2312" w:cs="CESI仿宋-GB2312"/>
          <w:b w:val="0"/>
          <w:bCs/>
          <w:sz w:val="28"/>
          <w:szCs w:val="28"/>
        </w:rPr>
        <w:t>。</w:t>
      </w:r>
    </w:p>
    <w:p>
      <w:pPr>
        <w:tabs>
          <w:tab w:val="center" w:pos="6979"/>
        </w:tabs>
        <w:spacing w:line="580" w:lineRule="exact"/>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rPr>
        <w:t>2．“文化旅游体育与传媒支出”(类)202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4407.39</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减少</w:t>
      </w:r>
      <w:r>
        <w:rPr>
          <w:rFonts w:hint="eastAsia" w:ascii="CESI仿宋-GB2312" w:hAnsi="CESI仿宋-GB2312" w:eastAsia="CESI仿宋-GB2312" w:cs="CESI仿宋-GB2312"/>
          <w:b w:val="0"/>
          <w:bCs/>
          <w:sz w:val="28"/>
          <w:szCs w:val="28"/>
          <w:lang w:val="en-US" w:eastAsia="zh-CN"/>
        </w:rPr>
        <w:t>1391.66</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下降</w:t>
      </w:r>
      <w:r>
        <w:rPr>
          <w:rFonts w:hint="eastAsia" w:ascii="CESI仿宋-GB2312" w:hAnsi="CESI仿宋-GB2312" w:eastAsia="CESI仿宋-GB2312" w:cs="CESI仿宋-GB2312"/>
          <w:b w:val="0"/>
          <w:bCs/>
          <w:sz w:val="28"/>
          <w:szCs w:val="28"/>
          <w:lang w:val="en-US" w:eastAsia="zh-CN"/>
        </w:rPr>
        <w:t>24.00</w:t>
      </w:r>
      <w:r>
        <w:rPr>
          <w:rFonts w:hint="eastAsia" w:ascii="CESI仿宋-GB2312" w:hAnsi="CESI仿宋-GB2312" w:eastAsia="CESI仿宋-GB2312" w:cs="CESI仿宋-GB2312"/>
          <w:b w:val="0"/>
          <w:bCs/>
          <w:sz w:val="28"/>
          <w:szCs w:val="28"/>
        </w:rPr>
        <w:t>%。其中：</w:t>
      </w:r>
    </w:p>
    <w:p>
      <w:pPr>
        <w:spacing w:line="580" w:lineRule="exact"/>
        <w:ind w:firstLine="560" w:firstLineChars="200"/>
        <w:rPr>
          <w:rFonts w:ascii="仿宋_GB2312" w:eastAsia="仿宋_GB2312"/>
          <w:sz w:val="28"/>
          <w:szCs w:val="28"/>
        </w:rPr>
      </w:pPr>
      <w:r>
        <w:rPr>
          <w:rFonts w:hint="eastAsia" w:ascii="CESI仿宋-GB2312" w:hAnsi="CESI仿宋-GB2312" w:eastAsia="CESI仿宋-GB2312" w:cs="CESI仿宋-GB2312"/>
          <w:b w:val="0"/>
          <w:bCs/>
          <w:sz w:val="28"/>
          <w:szCs w:val="28"/>
        </w:rPr>
        <w:t xml:space="preserve"> “文物”（款）202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年度决算</w:t>
      </w:r>
      <w:r>
        <w:rPr>
          <w:rFonts w:hint="eastAsia" w:ascii="CESI仿宋-GB2312" w:hAnsi="CESI仿宋-GB2312" w:eastAsia="CESI仿宋-GB2312" w:cs="CESI仿宋-GB2312"/>
          <w:b w:val="0"/>
          <w:bCs/>
          <w:sz w:val="28"/>
          <w:szCs w:val="28"/>
          <w:lang w:val="en-US" w:eastAsia="zh-CN"/>
        </w:rPr>
        <w:t>4407.39</w:t>
      </w:r>
      <w:r>
        <w:rPr>
          <w:rFonts w:hint="eastAsia" w:ascii="CESI仿宋-GB2312" w:hAnsi="CESI仿宋-GB2312" w:eastAsia="CESI仿宋-GB2312" w:cs="CESI仿宋-GB2312"/>
          <w:b w:val="0"/>
          <w:bCs/>
          <w:sz w:val="28"/>
          <w:szCs w:val="28"/>
        </w:rPr>
        <w:t>万元，比202</w:t>
      </w:r>
      <w:r>
        <w:rPr>
          <w:rFonts w:hint="eastAsia" w:ascii="CESI仿宋-GB2312" w:hAnsi="CESI仿宋-GB2312" w:eastAsia="CESI仿宋-GB2312" w:cs="CESI仿宋-GB2312"/>
          <w:b w:val="0"/>
          <w:bCs/>
          <w:sz w:val="28"/>
          <w:szCs w:val="28"/>
          <w:lang w:val="en-US" w:eastAsia="zh-CN"/>
        </w:rPr>
        <w:t>3</w:t>
      </w:r>
      <w:r>
        <w:rPr>
          <w:rFonts w:hint="eastAsia" w:ascii="CESI仿宋-GB2312" w:hAnsi="CESI仿宋-GB2312" w:eastAsia="CESI仿宋-GB2312" w:cs="CESI仿宋-GB2312"/>
          <w:b w:val="0"/>
          <w:bCs/>
          <w:sz w:val="28"/>
          <w:szCs w:val="28"/>
        </w:rPr>
        <w:t>年年初预算</w:t>
      </w:r>
      <w:r>
        <w:rPr>
          <w:rFonts w:hint="eastAsia" w:ascii="CESI仿宋-GB2312" w:hAnsi="CESI仿宋-GB2312" w:eastAsia="CESI仿宋-GB2312" w:cs="CESI仿宋-GB2312"/>
          <w:b w:val="0"/>
          <w:bCs/>
          <w:sz w:val="28"/>
          <w:szCs w:val="28"/>
          <w:lang w:eastAsia="zh-CN"/>
        </w:rPr>
        <w:t>减少</w:t>
      </w:r>
      <w:r>
        <w:rPr>
          <w:rFonts w:hint="eastAsia" w:ascii="CESI仿宋-GB2312" w:hAnsi="CESI仿宋-GB2312" w:eastAsia="CESI仿宋-GB2312" w:cs="CESI仿宋-GB2312"/>
          <w:b w:val="0"/>
          <w:bCs/>
          <w:sz w:val="28"/>
          <w:szCs w:val="28"/>
          <w:lang w:val="en-US" w:eastAsia="zh-CN"/>
        </w:rPr>
        <w:t>1391.66</w:t>
      </w:r>
      <w:r>
        <w:rPr>
          <w:rFonts w:hint="eastAsia" w:ascii="CESI仿宋-GB2312" w:hAnsi="CESI仿宋-GB2312" w:eastAsia="CESI仿宋-GB2312" w:cs="CESI仿宋-GB2312"/>
          <w:b w:val="0"/>
          <w:bCs/>
          <w:sz w:val="28"/>
          <w:szCs w:val="28"/>
        </w:rPr>
        <w:t>万元，</w:t>
      </w:r>
      <w:r>
        <w:rPr>
          <w:rFonts w:hint="eastAsia" w:ascii="CESI仿宋-GB2312" w:hAnsi="CESI仿宋-GB2312" w:eastAsia="CESI仿宋-GB2312" w:cs="CESI仿宋-GB2312"/>
          <w:b w:val="0"/>
          <w:bCs/>
          <w:sz w:val="28"/>
          <w:szCs w:val="28"/>
          <w:lang w:eastAsia="zh-CN"/>
        </w:rPr>
        <w:t>下降</w:t>
      </w:r>
      <w:r>
        <w:rPr>
          <w:rFonts w:hint="eastAsia" w:ascii="CESI仿宋-GB2312" w:hAnsi="CESI仿宋-GB2312" w:eastAsia="CESI仿宋-GB2312" w:cs="CESI仿宋-GB2312"/>
          <w:b w:val="0"/>
          <w:bCs/>
          <w:sz w:val="28"/>
          <w:szCs w:val="28"/>
          <w:lang w:val="en-US" w:eastAsia="zh-CN"/>
        </w:rPr>
        <w:t>24.00</w:t>
      </w:r>
      <w:r>
        <w:rPr>
          <w:rFonts w:hint="eastAsia" w:ascii="CESI仿宋-GB2312" w:hAnsi="CESI仿宋-GB2312" w:eastAsia="CESI仿宋-GB2312" w:cs="CESI仿宋-GB2312"/>
          <w:b w:val="0"/>
          <w:bCs/>
          <w:sz w:val="28"/>
          <w:szCs w:val="28"/>
        </w:rPr>
        <w:t>%。主要原因：</w:t>
      </w:r>
      <w:r>
        <w:rPr>
          <w:rFonts w:hint="eastAsia" w:ascii="仿宋_GB2312" w:hAnsi="仿宋" w:eastAsia="仿宋_GB2312"/>
          <w:sz w:val="28"/>
          <w:szCs w:val="28"/>
        </w:rPr>
        <w:t>落实政府过紧日子要求，厉行勤俭节约要求，严格控制</w:t>
      </w:r>
      <w:r>
        <w:rPr>
          <w:rFonts w:hint="eastAsia" w:ascii="仿宋_GB2312" w:hAnsi="仿宋" w:eastAsia="仿宋_GB2312"/>
          <w:sz w:val="28"/>
          <w:szCs w:val="28"/>
          <w:lang w:eastAsia="zh-CN"/>
        </w:rPr>
        <w:t>项目支出。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ascii="仿宋_GB2312" w:eastAsia="仿宋_GB2312"/>
          <w:sz w:val="28"/>
          <w:szCs w:val="28"/>
        </w:rPr>
      </w:pPr>
      <w:r>
        <w:rPr>
          <w:rFonts w:hint="eastAsia" w:ascii="CESI仿宋-GB2312" w:hAnsi="CESI仿宋-GB2312" w:eastAsia="CESI仿宋-GB2312" w:cs="CESI仿宋-GB2312"/>
          <w:b w:val="0"/>
          <w:bCs/>
          <w:sz w:val="28"/>
          <w:szCs w:val="28"/>
        </w:rPr>
        <w:t>本年度无此项</w:t>
      </w:r>
      <w:r>
        <w:rPr>
          <w:rFonts w:hint="eastAsia" w:ascii="CESI仿宋-GB2312" w:hAnsi="CESI仿宋-GB2312" w:eastAsia="CESI仿宋-GB2312" w:cs="CESI仿宋-GB2312"/>
          <w:b w:val="0"/>
          <w:bCs/>
          <w:sz w:val="28"/>
          <w:szCs w:val="28"/>
          <w:lang w:eastAsia="zh-CN"/>
        </w:rPr>
        <w:t>经费</w:t>
      </w:r>
      <w:r>
        <w:rPr>
          <w:rFonts w:hint="eastAsia" w:ascii="CESI仿宋-GB2312" w:hAnsi="CESI仿宋-GB2312" w:eastAsia="CESI仿宋-GB2312" w:cs="CESI仿宋-GB2312"/>
          <w:b w:val="0"/>
          <w:bCs/>
          <w:sz w:val="28"/>
          <w:szCs w:val="28"/>
        </w:rPr>
        <w:t>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w:t>
      </w:r>
      <w:r>
        <w:rPr>
          <w:rFonts w:hint="eastAsia" w:ascii="仿宋_GB2312" w:eastAsia="仿宋_GB2312"/>
          <w:sz w:val="28"/>
          <w:szCs w:val="28"/>
          <w:lang w:eastAsia="zh-CN"/>
        </w:rPr>
        <w:t>本</w:t>
      </w:r>
      <w:r>
        <w:rPr>
          <w:rFonts w:hint="eastAsia" w:ascii="仿宋_GB2312" w:eastAsia="仿宋_GB2312"/>
          <w:sz w:val="28"/>
          <w:szCs w:val="28"/>
        </w:rPr>
        <w:t>单位所属</w:t>
      </w:r>
      <w:r>
        <w:rPr>
          <w:rFonts w:hint="eastAsia" w:ascii="仿宋_GB2312" w:eastAsia="仿宋_GB2312"/>
          <w:bCs/>
          <w:sz w:val="28"/>
          <w:szCs w:val="28"/>
          <w:lang w:val="en-US" w:eastAsia="zh-CN"/>
        </w:rPr>
        <w:t>1</w:t>
      </w:r>
      <w:r>
        <w:rPr>
          <w:rFonts w:hint="eastAsia" w:ascii="仿宋_GB2312" w:eastAsia="仿宋_GB2312"/>
          <w:sz w:val="28"/>
          <w:szCs w:val="28"/>
        </w:rPr>
        <w:t>个行政单位。202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58.05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27</w:t>
      </w:r>
      <w:r>
        <w:rPr>
          <w:rFonts w:hint="eastAsia" w:ascii="仿宋_GB2312" w:eastAsia="仿宋_GB2312"/>
          <w:sz w:val="28"/>
          <w:szCs w:val="28"/>
        </w:rPr>
        <w:t>万元增加</w:t>
      </w:r>
      <w:r>
        <w:rPr>
          <w:rFonts w:ascii="仿宋_GB2312" w:eastAsia="仿宋_GB2312"/>
          <w:sz w:val="28"/>
          <w:szCs w:val="28"/>
        </w:rPr>
        <w:t>31.05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58.05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27</w:t>
      </w:r>
      <w:r>
        <w:rPr>
          <w:rFonts w:hint="eastAsia" w:ascii="仿宋_GB2312" w:eastAsia="仿宋_GB2312"/>
          <w:sz w:val="28"/>
          <w:szCs w:val="28"/>
        </w:rPr>
        <w:t>万元增加</w:t>
      </w:r>
      <w:r>
        <w:rPr>
          <w:rFonts w:ascii="仿宋_GB2312" w:eastAsia="仿宋_GB2312"/>
          <w:sz w:val="28"/>
          <w:szCs w:val="28"/>
        </w:rPr>
        <w:t>31.05</w:t>
      </w:r>
      <w:r>
        <w:rPr>
          <w:rFonts w:hint="eastAsia" w:ascii="仿宋_GB2312" w:eastAsia="仿宋_GB2312"/>
          <w:sz w:val="28"/>
          <w:szCs w:val="28"/>
        </w:rPr>
        <w:t>万元。主要原因：</w:t>
      </w:r>
      <w:r>
        <w:rPr>
          <w:rFonts w:hint="eastAsia" w:ascii="仿宋_GB2312" w:hAnsi="仿宋" w:eastAsia="仿宋_GB2312" w:cs="仿宋"/>
          <w:bCs/>
          <w:color w:val="000000"/>
          <w:sz w:val="28"/>
          <w:szCs w:val="28"/>
          <w:lang w:val="en-US" w:eastAsia="zh-CN"/>
        </w:rPr>
        <w:t>是</w:t>
      </w:r>
      <w:r>
        <w:rPr>
          <w:rFonts w:hint="eastAsia" w:ascii="仿宋_GB2312" w:hAnsi="仿宋" w:eastAsia="仿宋_GB2312"/>
          <w:sz w:val="28"/>
          <w:szCs w:val="28"/>
        </w:rPr>
        <w:t>按照国家文物局关于北京中轴线申遗保护的工作要求</w:t>
      </w:r>
      <w:r>
        <w:rPr>
          <w:rFonts w:hint="eastAsia" w:ascii="仿宋_GB2312" w:hAnsi="仿宋" w:eastAsia="仿宋_GB2312"/>
          <w:sz w:val="28"/>
          <w:szCs w:val="28"/>
          <w:lang w:eastAsia="zh-CN"/>
        </w:rPr>
        <w:t>及市委外办、市政府外办</w:t>
      </w:r>
      <w:r>
        <w:rPr>
          <w:rFonts w:ascii="仿宋_GB2312" w:hAnsi="Times New Roman" w:eastAsia="仿宋_GB2312" w:cs="Times New Roman"/>
          <w:sz w:val="28"/>
          <w:szCs w:val="28"/>
        </w:rPr>
        <w:t>《</w:t>
      </w:r>
      <w:r>
        <w:rPr>
          <w:rFonts w:hint="eastAsia" w:ascii="仿宋_GB2312" w:hAnsi="Times New Roman" w:eastAsia="仿宋_GB2312" w:cs="Times New Roman"/>
          <w:sz w:val="28"/>
          <w:szCs w:val="28"/>
        </w:rPr>
        <w:t>关于</w:t>
      </w:r>
      <w:r>
        <w:rPr>
          <w:rFonts w:ascii="仿宋_GB2312" w:hAnsi="Times New Roman" w:eastAsia="仿宋_GB2312" w:cs="Times New Roman"/>
          <w:sz w:val="28"/>
          <w:szCs w:val="28"/>
        </w:rPr>
        <w:t>请做好中共代表团出访期间相关公务活动筹备工作的函》</w:t>
      </w:r>
      <w:r>
        <w:rPr>
          <w:rFonts w:hint="eastAsia" w:ascii="仿宋_GB2312" w:hAnsi="Times New Roman" w:eastAsia="仿宋_GB2312" w:cs="Times New Roman"/>
          <w:sz w:val="28"/>
          <w:szCs w:val="28"/>
          <w:lang w:eastAsia="zh-CN"/>
        </w:rPr>
        <w:t>文件</w:t>
      </w:r>
      <w:r>
        <w:rPr>
          <w:rFonts w:hint="eastAsia" w:ascii="仿宋_GB2312" w:hAnsi="仿宋" w:eastAsia="仿宋_GB2312"/>
          <w:sz w:val="28"/>
          <w:szCs w:val="28"/>
          <w:lang w:eastAsia="zh-CN"/>
        </w:rPr>
        <w:t>要求</w:t>
      </w:r>
      <w:r>
        <w:rPr>
          <w:rFonts w:hint="eastAsia" w:ascii="仿宋_GB2312" w:hAnsi="仿宋" w:eastAsia="仿宋_GB2312" w:cs="仿宋"/>
          <w:bCs/>
          <w:color w:val="000000"/>
          <w:sz w:val="28"/>
          <w:szCs w:val="28"/>
        </w:rPr>
        <w:t>。</w:t>
      </w:r>
      <w:r>
        <w:rPr>
          <w:rFonts w:hint="eastAsia" w:ascii="仿宋_GB2312" w:hAnsi="仿宋" w:eastAsia="仿宋_GB2312" w:cs="仿宋"/>
          <w:bCs/>
          <w:color w:val="000000"/>
          <w:sz w:val="28"/>
          <w:szCs w:val="28"/>
          <w:lang w:eastAsia="zh-CN"/>
        </w:rPr>
        <w:t>增加</w:t>
      </w:r>
      <w:r>
        <w:rPr>
          <w:rFonts w:hint="eastAsia" w:ascii="仿宋_GB2312" w:hAnsi="仿宋" w:eastAsia="仿宋_GB2312"/>
          <w:sz w:val="28"/>
          <w:szCs w:val="28"/>
          <w:lang w:eastAsia="zh-CN"/>
        </w:rPr>
        <w:t>赴沙特</w:t>
      </w:r>
      <w:r>
        <w:rPr>
          <w:rFonts w:hint="eastAsia" w:ascii="仿宋_GB2312" w:hAnsi="仿宋" w:eastAsia="仿宋_GB2312"/>
          <w:sz w:val="28"/>
          <w:szCs w:val="28"/>
        </w:rPr>
        <w:t>参加第45届世界遗产大会</w:t>
      </w:r>
      <w:r>
        <w:rPr>
          <w:rFonts w:hint="eastAsia" w:ascii="仿宋_GB2312" w:hAnsi="仿宋" w:eastAsia="仿宋_GB2312"/>
          <w:sz w:val="28"/>
          <w:szCs w:val="28"/>
          <w:lang w:eastAsia="zh-CN"/>
        </w:rPr>
        <w:t>团组及</w:t>
      </w:r>
      <w:r>
        <w:rPr>
          <w:rFonts w:hint="eastAsia" w:ascii="仿宋_GB2312" w:hAnsi="Times New Roman" w:eastAsia="仿宋_GB2312" w:cs="Times New Roman"/>
          <w:sz w:val="28"/>
          <w:szCs w:val="28"/>
        </w:rPr>
        <w:t>访问</w:t>
      </w:r>
      <w:r>
        <w:rPr>
          <w:rFonts w:ascii="仿宋_GB2312" w:hAnsi="Times New Roman" w:eastAsia="仿宋_GB2312" w:cs="Times New Roman"/>
          <w:sz w:val="28"/>
          <w:szCs w:val="28"/>
        </w:rPr>
        <w:t>卡塔尔、土耳其</w:t>
      </w:r>
      <w:r>
        <w:rPr>
          <w:rFonts w:hint="eastAsia" w:ascii="仿宋_GB2312" w:hAnsi="Times New Roman" w:eastAsia="仿宋_GB2312" w:cs="Times New Roman"/>
          <w:sz w:val="28"/>
          <w:szCs w:val="28"/>
          <w:lang w:eastAsia="zh-CN"/>
        </w:rPr>
        <w:t>（伊斯坦布尔）团组等活动</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年度因公出国（境）费用主要用于</w:t>
      </w:r>
      <w:r>
        <w:rPr>
          <w:rFonts w:hint="eastAsia" w:ascii="仿宋_GB2312" w:eastAsia="仿宋_GB2312"/>
          <w:sz w:val="28"/>
          <w:szCs w:val="28"/>
          <w:lang w:eastAsia="zh-CN"/>
        </w:rPr>
        <w:t>中轴线申遗保护工作及文物保护交流</w:t>
      </w:r>
      <w:r>
        <w:rPr>
          <w:rFonts w:hint="eastAsia" w:ascii="仿宋_GB2312" w:eastAsia="仿宋_GB2312"/>
          <w:sz w:val="28"/>
          <w:szCs w:val="28"/>
        </w:rPr>
        <w:t>等方面，202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5</w:t>
      </w:r>
      <w:r>
        <w:rPr>
          <w:rFonts w:hint="eastAsia" w:ascii="仿宋_GB2312" w:eastAsia="仿宋_GB2312"/>
          <w:sz w:val="28"/>
          <w:szCs w:val="28"/>
        </w:rPr>
        <w:t>个、</w:t>
      </w:r>
      <w:r>
        <w:rPr>
          <w:rFonts w:hint="eastAsia" w:ascii="仿宋_GB2312" w:eastAsia="仿宋_GB2312"/>
          <w:sz w:val="28"/>
          <w:szCs w:val="28"/>
          <w:lang w:val="en-US" w:eastAsia="zh-CN"/>
        </w:rPr>
        <w:t>15</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3.87</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3.公务用车购置及运行维护费。</w:t>
      </w:r>
      <w:r>
        <w:rPr>
          <w:rFonts w:hint="eastAsia" w:ascii="仿宋_GB2312" w:eastAsia="仿宋_GB2312"/>
          <w:sz w:val="28"/>
          <w:szCs w:val="28"/>
          <w:lang w:eastAsia="zh-CN"/>
        </w:rPr>
        <w:t>本单位无此项支出</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lang w:eastAsia="zh-CN"/>
        </w:rPr>
        <w:t>本单位无此项支出</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287.06</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287.06</w:t>
      </w:r>
      <w:r>
        <w:rPr>
          <w:rFonts w:hint="eastAsia" w:ascii="仿宋_GB2312" w:eastAsia="仿宋_GB2312"/>
          <w:sz w:val="28"/>
          <w:szCs w:val="28"/>
        </w:rPr>
        <w:t>万元。授予中小企业合同金额</w:t>
      </w:r>
      <w:r>
        <w:rPr>
          <w:rFonts w:ascii="仿宋_GB2312" w:eastAsia="仿宋_GB2312"/>
          <w:sz w:val="28"/>
          <w:szCs w:val="28"/>
        </w:rPr>
        <w:t>287.06</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180.72</w:t>
      </w:r>
      <w:r>
        <w:rPr>
          <w:rFonts w:hint="eastAsia" w:ascii="仿宋_GB2312" w:eastAsia="仿宋_GB2312"/>
          <w:sz w:val="28"/>
          <w:szCs w:val="28"/>
        </w:rPr>
        <w:t>万元，占政府采购支出总额的</w:t>
      </w:r>
      <w:r>
        <w:rPr>
          <w:rFonts w:hint="eastAsia" w:ascii="仿宋_GB2312" w:eastAsia="仿宋_GB2312"/>
          <w:sz w:val="28"/>
          <w:szCs w:val="28"/>
          <w:lang w:eastAsia="zh-CN"/>
        </w:rPr>
        <w:t>62.95</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万元。截至12月31日，</w:t>
      </w:r>
      <w:r>
        <w:rPr>
          <w:rFonts w:hint="eastAsia" w:ascii="仿宋_GB2312" w:eastAsia="仿宋_GB2312"/>
          <w:sz w:val="28"/>
          <w:szCs w:val="28"/>
          <w:lang w:eastAsia="zh-CN"/>
        </w:rPr>
        <w:t>本单位</w:t>
      </w:r>
      <w:r>
        <w:rPr>
          <w:rFonts w:hint="eastAsia" w:ascii="仿宋_GB2312" w:eastAsia="仿宋_GB2312"/>
          <w:sz w:val="28"/>
          <w:szCs w:val="28"/>
        </w:rPr>
        <w:t>共有车辆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万元；单位价值100万元（含）以上的设备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政府购买服务决算2277.27</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14" w:firstLineChars="150"/>
        <w:rPr>
          <w:rFonts w:hint="eastAsia" w:ascii="仿宋_GB2312" w:hAnsi="Times New Roman" w:eastAsia="仿宋_GB2312" w:cs="Times New Roman"/>
          <w:b w:val="0"/>
          <w:bCs/>
          <w:color w:val="000000"/>
          <w:spacing w:val="-2"/>
          <w:sz w:val="28"/>
          <w:szCs w:val="28"/>
          <w:lang w:eastAsia="zh-CN"/>
        </w:rPr>
      </w:pPr>
      <w:r>
        <w:rPr>
          <w:rFonts w:hint="eastAsia" w:ascii="仿宋_GB2312" w:eastAsia="仿宋_GB2312"/>
          <w:b w:val="0"/>
          <w:bCs/>
          <w:color w:val="000000"/>
          <w:spacing w:val="-2"/>
          <w:sz w:val="28"/>
          <w:szCs w:val="28"/>
          <w:lang w:val="en-US" w:eastAsia="zh-CN"/>
        </w:rPr>
        <w:t>7.</w:t>
      </w:r>
      <w:r>
        <w:rPr>
          <w:rFonts w:hint="eastAsia" w:ascii="仿宋_GB2312" w:eastAsia="仿宋_GB2312"/>
          <w:b w:val="0"/>
          <w:bCs/>
          <w:color w:val="000000"/>
          <w:spacing w:val="-2"/>
          <w:sz w:val="28"/>
          <w:szCs w:val="28"/>
        </w:rPr>
        <w:t>各</w:t>
      </w:r>
      <w:r>
        <w:rPr>
          <w:rFonts w:hint="eastAsia" w:ascii="仿宋_GB2312" w:eastAsia="仿宋_GB2312"/>
          <w:b w:val="0"/>
          <w:bCs/>
          <w:color w:val="000000"/>
          <w:spacing w:val="-2"/>
          <w:sz w:val="28"/>
          <w:szCs w:val="28"/>
          <w:lang w:eastAsia="zh-CN"/>
        </w:rPr>
        <w:t>单位</w:t>
      </w:r>
      <w:r>
        <w:rPr>
          <w:rFonts w:hint="eastAsia" w:ascii="仿宋_GB2312" w:eastAsia="仿宋_GB2312"/>
          <w:b w:val="0"/>
          <w:bCs/>
          <w:color w:val="000000"/>
          <w:spacing w:val="-2"/>
          <w:sz w:val="28"/>
          <w:szCs w:val="28"/>
        </w:rPr>
        <w:t>需根据自身业务职能</w:t>
      </w:r>
      <w:r>
        <w:rPr>
          <w:rFonts w:hint="eastAsia" w:ascii="仿宋_GB2312" w:hAnsi="Times New Roman" w:eastAsia="仿宋_GB2312" w:cs="Times New Roman"/>
          <w:b w:val="0"/>
          <w:bCs/>
          <w:color w:val="000000"/>
          <w:spacing w:val="-2"/>
          <w:sz w:val="28"/>
          <w:szCs w:val="28"/>
        </w:rPr>
        <w:t>，</w:t>
      </w:r>
      <w:r>
        <w:rPr>
          <w:rFonts w:hint="eastAsia" w:ascii="仿宋_GB2312" w:hAnsi="Times New Roman" w:eastAsia="仿宋_GB2312" w:cs="Times New Roman"/>
          <w:b w:val="0"/>
          <w:bCs/>
          <w:color w:val="000000"/>
          <w:spacing w:val="-2"/>
          <w:sz w:val="28"/>
          <w:szCs w:val="28"/>
          <w:lang w:eastAsia="zh-CN"/>
        </w:rPr>
        <w:t>补充当年</w:t>
      </w:r>
      <w:r>
        <w:rPr>
          <w:rFonts w:hint="eastAsia" w:ascii="仿宋_GB2312" w:hAnsi="Times New Roman" w:eastAsia="仿宋_GB2312" w:cs="Times New Roman"/>
          <w:b w:val="0"/>
          <w:bCs/>
          <w:color w:val="000000"/>
          <w:spacing w:val="-2"/>
          <w:sz w:val="28"/>
          <w:szCs w:val="28"/>
          <w:lang w:val="en-US" w:eastAsia="zh-CN"/>
        </w:rPr>
        <w:t>使用的所有</w:t>
      </w:r>
      <w:r>
        <w:rPr>
          <w:rFonts w:hint="eastAsia" w:ascii="仿宋_GB2312" w:hAnsi="Times New Roman" w:eastAsia="仿宋_GB2312" w:cs="Times New Roman"/>
          <w:b w:val="0"/>
          <w:bCs/>
          <w:color w:val="000000"/>
          <w:spacing w:val="-2"/>
          <w:sz w:val="28"/>
          <w:szCs w:val="28"/>
          <w:lang w:eastAsia="zh-CN"/>
        </w:rPr>
        <w:t>支出功能分类项级科目名词解释：</w:t>
      </w:r>
    </w:p>
    <w:p>
      <w:pPr>
        <w:ind w:firstLine="560" w:firstLineChars="200"/>
        <w:rPr>
          <w:rFonts w:hint="eastAsia" w:ascii="CESI仿宋-GB2312" w:hAnsi="CESI仿宋-GB2312" w:eastAsia="CESI仿宋-GB2312" w:cs="CESI仿宋-GB2312"/>
          <w:b w:val="0"/>
          <w:bCs/>
          <w:sz w:val="28"/>
          <w:szCs w:val="28"/>
          <w:lang w:eastAsia="zh-CN"/>
        </w:rPr>
      </w:pP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lang w:val="en-US" w:eastAsia="zh-CN"/>
        </w:rPr>
        <w:t>1</w:t>
      </w:r>
      <w:r>
        <w:rPr>
          <w:rFonts w:hint="eastAsia" w:ascii="CESI仿宋-GB2312" w:hAnsi="CESI仿宋-GB2312" w:eastAsia="CESI仿宋-GB2312" w:cs="CESI仿宋-GB2312"/>
          <w:b w:val="0"/>
          <w:bCs/>
          <w:sz w:val="28"/>
          <w:szCs w:val="28"/>
          <w:lang w:eastAsia="zh-CN"/>
        </w:rPr>
        <w:t>）教育支出</w:t>
      </w:r>
      <w:r>
        <w:rPr>
          <w:rFonts w:hint="eastAsia" w:ascii="CESI仿宋-GB2312" w:hAnsi="CESI仿宋-GB2312" w:eastAsia="CESI仿宋-GB2312" w:cs="CESI仿宋-GB2312"/>
          <w:b w:val="0"/>
          <w:bCs/>
          <w:sz w:val="28"/>
          <w:szCs w:val="28"/>
        </w:rPr>
        <w:t>（类）</w:t>
      </w:r>
      <w:r>
        <w:rPr>
          <w:rFonts w:hint="eastAsia" w:ascii="CESI仿宋-GB2312" w:hAnsi="CESI仿宋-GB2312" w:eastAsia="CESI仿宋-GB2312" w:cs="CESI仿宋-GB2312"/>
          <w:b w:val="0"/>
          <w:bCs/>
          <w:sz w:val="28"/>
          <w:szCs w:val="28"/>
          <w:lang w:eastAsia="zh-CN"/>
        </w:rPr>
        <w:t>进修及培训</w:t>
      </w:r>
      <w:r>
        <w:rPr>
          <w:rFonts w:hint="eastAsia" w:ascii="CESI仿宋-GB2312" w:hAnsi="CESI仿宋-GB2312" w:eastAsia="CESI仿宋-GB2312" w:cs="CESI仿宋-GB2312"/>
          <w:b w:val="0"/>
          <w:bCs/>
          <w:sz w:val="28"/>
          <w:szCs w:val="28"/>
        </w:rPr>
        <w:t>（款）</w:t>
      </w:r>
      <w:r>
        <w:rPr>
          <w:rFonts w:hint="eastAsia" w:ascii="CESI仿宋-GB2312" w:hAnsi="CESI仿宋-GB2312" w:eastAsia="CESI仿宋-GB2312" w:cs="CESI仿宋-GB2312"/>
          <w:b w:val="0"/>
          <w:bCs/>
          <w:sz w:val="28"/>
          <w:szCs w:val="28"/>
          <w:lang w:eastAsia="zh-CN"/>
        </w:rPr>
        <w:t>培训支出</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本单位安排的用于培训的支出。</w:t>
      </w:r>
    </w:p>
    <w:p>
      <w:pPr>
        <w:pStyle w:val="8"/>
        <w:ind w:firstLine="560" w:firstLineChars="200"/>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lang w:val="en-US" w:eastAsia="zh-CN"/>
        </w:rPr>
        <w:t>2</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文化旅游体育与传媒支出（类）文物（款）</w:t>
      </w:r>
      <w:r>
        <w:rPr>
          <w:rFonts w:hint="eastAsia" w:ascii="CESI仿宋-GB2312" w:hAnsi="CESI仿宋-GB2312" w:eastAsia="CESI仿宋-GB2312" w:cs="CESI仿宋-GB2312"/>
          <w:b w:val="0"/>
          <w:bCs/>
          <w:sz w:val="28"/>
          <w:szCs w:val="28"/>
          <w:lang w:eastAsia="zh-CN"/>
        </w:rPr>
        <w:t>博物馆</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文物系统及其它部门所属博物馆、纪念馆方面的支出</w:t>
      </w:r>
      <w:r>
        <w:rPr>
          <w:rFonts w:hint="eastAsia" w:ascii="CESI仿宋-GB2312" w:hAnsi="CESI仿宋-GB2312" w:eastAsia="CESI仿宋-GB2312" w:cs="CESI仿宋-GB2312"/>
          <w:b w:val="0"/>
          <w:bCs/>
          <w:sz w:val="28"/>
          <w:szCs w:val="28"/>
        </w:rPr>
        <w:t>。</w:t>
      </w:r>
    </w:p>
    <w:p>
      <w:pPr>
        <w:pStyle w:val="8"/>
        <w:rPr>
          <w:rFonts w:hint="eastAsia" w:ascii="CESI仿宋-GB2312" w:hAnsi="CESI仿宋-GB2312" w:eastAsia="CESI仿宋-GB2312" w:cs="CESI仿宋-GB2312"/>
          <w:b w:val="0"/>
          <w:bCs/>
          <w:sz w:val="28"/>
          <w:szCs w:val="28"/>
        </w:rPr>
      </w:pPr>
      <w:r>
        <w:rPr>
          <w:rFonts w:hint="eastAsia" w:ascii="CESI仿宋-GB2312" w:hAnsi="CESI仿宋-GB2312" w:eastAsia="CESI仿宋-GB2312" w:cs="CESI仿宋-GB2312"/>
          <w:b w:val="0"/>
          <w:bCs/>
          <w:sz w:val="28"/>
          <w:szCs w:val="28"/>
          <w:lang w:val="en-US" w:eastAsia="zh-CN"/>
        </w:rPr>
        <w:t xml:space="preserve">    （3）</w:t>
      </w:r>
      <w:r>
        <w:rPr>
          <w:rFonts w:hint="eastAsia" w:ascii="CESI仿宋-GB2312" w:hAnsi="CESI仿宋-GB2312" w:eastAsia="CESI仿宋-GB2312" w:cs="CESI仿宋-GB2312"/>
          <w:b w:val="0"/>
          <w:bCs/>
          <w:sz w:val="28"/>
          <w:szCs w:val="28"/>
        </w:rPr>
        <w:t>文化旅游体育与传媒支出（类）文物（款）</w:t>
      </w:r>
      <w:r>
        <w:rPr>
          <w:rFonts w:hint="eastAsia" w:ascii="CESI仿宋-GB2312" w:hAnsi="CESI仿宋-GB2312" w:eastAsia="CESI仿宋-GB2312" w:cs="CESI仿宋-GB2312"/>
          <w:b w:val="0"/>
          <w:bCs/>
          <w:sz w:val="28"/>
          <w:szCs w:val="28"/>
          <w:lang w:eastAsia="zh-CN"/>
        </w:rPr>
        <w:t>历史名城与古迹</w:t>
      </w:r>
      <w:r>
        <w:rPr>
          <w:rFonts w:hint="eastAsia" w:ascii="CESI仿宋-GB2312" w:hAnsi="CESI仿宋-GB2312" w:eastAsia="CESI仿宋-GB2312" w:cs="CESI仿宋-GB2312"/>
          <w:b w:val="0"/>
          <w:bCs/>
          <w:sz w:val="28"/>
          <w:szCs w:val="28"/>
        </w:rPr>
        <w:t>（项）：反映</w:t>
      </w:r>
      <w:r>
        <w:rPr>
          <w:rFonts w:hint="eastAsia" w:ascii="CESI仿宋-GB2312" w:hAnsi="CESI仿宋-GB2312" w:eastAsia="CESI仿宋-GB2312" w:cs="CESI仿宋-GB2312"/>
          <w:b w:val="0"/>
          <w:bCs/>
          <w:sz w:val="28"/>
          <w:szCs w:val="28"/>
          <w:lang w:eastAsia="zh-CN"/>
        </w:rPr>
        <w:t>历史名城、世界遗产规划与古迹保护等方面的支出</w:t>
      </w:r>
      <w:r>
        <w:rPr>
          <w:rFonts w:hint="eastAsia" w:ascii="CESI仿宋-GB2312" w:hAnsi="CESI仿宋-GB2312" w:eastAsia="CESI仿宋-GB2312" w:cs="CESI仿宋-GB2312"/>
          <w:b w:val="0"/>
          <w:bCs/>
          <w:sz w:val="28"/>
          <w:szCs w:val="28"/>
        </w:rPr>
        <w:t>。</w:t>
      </w:r>
    </w:p>
    <w:p>
      <w:pPr>
        <w:ind w:firstLine="560" w:firstLineChars="200"/>
        <w:rPr>
          <w:rFonts w:ascii="仿宋_GB2312" w:eastAsia="仿宋_GB2312"/>
          <w:sz w:val="28"/>
          <w:szCs w:val="28"/>
        </w:rPr>
      </w:pPr>
      <w:r>
        <w:rPr>
          <w:rFonts w:hint="eastAsia" w:ascii="CESI仿宋-GB2312" w:hAnsi="CESI仿宋-GB2312" w:eastAsia="CESI仿宋-GB2312" w:cs="CESI仿宋-GB2312"/>
          <w:b w:val="0"/>
          <w:bCs/>
          <w:sz w:val="28"/>
          <w:szCs w:val="28"/>
          <w:lang w:val="en-US" w:eastAsia="zh-CN"/>
        </w:rPr>
        <w:t>（4</w:t>
      </w:r>
      <w:r>
        <w:rPr>
          <w:rFonts w:hint="eastAsia" w:ascii="CESI仿宋-GB2312" w:hAnsi="CESI仿宋-GB2312" w:eastAsia="CESI仿宋-GB2312" w:cs="CESI仿宋-GB2312"/>
          <w:b w:val="0"/>
          <w:bCs/>
          <w:sz w:val="28"/>
          <w:szCs w:val="28"/>
          <w:lang w:eastAsia="zh-CN"/>
        </w:rPr>
        <w:t>）</w:t>
      </w:r>
      <w:r>
        <w:rPr>
          <w:rFonts w:hint="eastAsia" w:ascii="CESI仿宋-GB2312" w:hAnsi="CESI仿宋-GB2312" w:eastAsia="CESI仿宋-GB2312" w:cs="CESI仿宋-GB2312"/>
          <w:b w:val="0"/>
          <w:bCs/>
          <w:sz w:val="28"/>
          <w:szCs w:val="28"/>
        </w:rPr>
        <w:t>文化旅游体育与传媒支出（类）文物（款）其他文物支出（项）：反映除上述项目以外其他用于文物方面的支出。</w:t>
      </w: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一、项目</w:t>
      </w:r>
      <w:r>
        <w:rPr>
          <w:rFonts w:ascii="黑体" w:eastAsia="黑体"/>
          <w:sz w:val="28"/>
          <w:szCs w:val="28"/>
        </w:rPr>
        <w:t>支出绩效自评表</w:t>
      </w:r>
      <w:r>
        <w:rPr>
          <w:rFonts w:hint="eastAsia" w:ascii="黑体" w:eastAsia="黑体"/>
          <w:sz w:val="28"/>
          <w:szCs w:val="28"/>
        </w:rPr>
        <w:t>（详见附件）</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Droid Sans">
    <w:altName w:val="文泉驿微米黑"/>
    <w:panose1 w:val="00000000000000000000"/>
    <w:charset w:val="00"/>
    <w:family w:val="auto"/>
    <w:pitch w:val="default"/>
    <w:sig w:usb0="00000000" w:usb1="00000000" w:usb2="00000000" w:usb3="00000000" w:csb0="00040001" w:csb1="00000000"/>
  </w:font>
  <w:font w:name="文泉驿微米黑">
    <w:panose1 w:val="020B0606030804020204"/>
    <w:charset w:val="86"/>
    <w:family w:val="auto"/>
    <w:pitch w:val="default"/>
    <w:sig w:usb0="E10002EF" w:usb1="6BDFFCFB" w:usb2="00800036" w:usb3="00000000" w:csb0="603E019F" w:csb1="DFD70000"/>
  </w:font>
  <w:font w:name="CESI仿宋-GB2312">
    <w:panose1 w:val="02000500000000000000"/>
    <w:charset w:val="86"/>
    <w:family w:val="auto"/>
    <w:pitch w:val="default"/>
    <w:sig w:usb0="800002AF" w:usb1="084F6CF8" w:usb2="00000010" w:usb3="00000000" w:csb0="0004000F" w:csb1="00000000"/>
  </w:font>
  <w:font w:name="simsun">
    <w:altName w:val="文泉驿微米黑"/>
    <w:panose1 w:val="00000000000000000000"/>
    <w:charset w:val="00"/>
    <w:family w:val="roman"/>
    <w:pitch w:val="default"/>
    <w:sig w:usb0="00000000" w:usb1="00000000" w:usb2="00000000"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8E2C57"/>
    <w:rsid w:val="1059665E"/>
    <w:rsid w:val="10AC13BA"/>
    <w:rsid w:val="1AEC0734"/>
    <w:rsid w:val="1DEF20B0"/>
    <w:rsid w:val="214243FA"/>
    <w:rsid w:val="21AD613C"/>
    <w:rsid w:val="257A14F5"/>
    <w:rsid w:val="27196C26"/>
    <w:rsid w:val="29EF086F"/>
    <w:rsid w:val="2EFFE297"/>
    <w:rsid w:val="301437CA"/>
    <w:rsid w:val="349D1F0A"/>
    <w:rsid w:val="34DD0473"/>
    <w:rsid w:val="433E495C"/>
    <w:rsid w:val="47F74B04"/>
    <w:rsid w:val="4AC27CB3"/>
    <w:rsid w:val="4BF72BEF"/>
    <w:rsid w:val="51DB3C59"/>
    <w:rsid w:val="550C0952"/>
    <w:rsid w:val="55762E42"/>
    <w:rsid w:val="57A7B272"/>
    <w:rsid w:val="58470068"/>
    <w:rsid w:val="5A1720F9"/>
    <w:rsid w:val="5B9C37C2"/>
    <w:rsid w:val="5BA7C654"/>
    <w:rsid w:val="64C0607C"/>
    <w:rsid w:val="676F09E1"/>
    <w:rsid w:val="77760D04"/>
    <w:rsid w:val="7A7F1C49"/>
    <w:rsid w:val="7B5B7AE6"/>
    <w:rsid w:val="7BA7071E"/>
    <w:rsid w:val="7BDF6DA8"/>
    <w:rsid w:val="7C7EDC1A"/>
    <w:rsid w:val="7CCED98D"/>
    <w:rsid w:val="7D08410F"/>
    <w:rsid w:val="7DB96DED"/>
    <w:rsid w:val="7DD3AD81"/>
    <w:rsid w:val="7F7FE70F"/>
    <w:rsid w:val="7FFF772F"/>
    <w:rsid w:val="87A80601"/>
    <w:rsid w:val="95F35EF6"/>
    <w:rsid w:val="9BFFD860"/>
    <w:rsid w:val="AC5F73DE"/>
    <w:rsid w:val="B5DDD2C8"/>
    <w:rsid w:val="B9DFABD9"/>
    <w:rsid w:val="BC0D83FC"/>
    <w:rsid w:val="BF3BDEFB"/>
    <w:rsid w:val="C75F6086"/>
    <w:rsid w:val="C7F7ED2D"/>
    <w:rsid w:val="CFAF854E"/>
    <w:rsid w:val="D8D7928E"/>
    <w:rsid w:val="D8FE3136"/>
    <w:rsid w:val="DDDE60B7"/>
    <w:rsid w:val="DE9F6A22"/>
    <w:rsid w:val="DF3D68A8"/>
    <w:rsid w:val="DF4FCE6A"/>
    <w:rsid w:val="DFEF67C7"/>
    <w:rsid w:val="E4FED278"/>
    <w:rsid w:val="EDAA365C"/>
    <w:rsid w:val="EDADFC12"/>
    <w:rsid w:val="F2FD229B"/>
    <w:rsid w:val="F7F709E9"/>
    <w:rsid w:val="F7FF3690"/>
    <w:rsid w:val="F9BD3900"/>
    <w:rsid w:val="FC8B9876"/>
    <w:rsid w:val="FEDFF218"/>
    <w:rsid w:val="FEDFFFFF"/>
    <w:rsid w:val="FFEF6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2">
    <w:name w:val="heading 3"/>
    <w:basedOn w:val="1"/>
    <w:next w:val="1"/>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next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Pt>
            <c:idx val="2"/>
            <c:bubble3D val="0"/>
            <c:spPr>
              <a:solidFill>
                <a:schemeClr val="accent3"/>
              </a:solidFill>
              <a:ln w="25400">
                <a:solidFill>
                  <a:schemeClr val="lt1"/>
                </a:solidFill>
              </a:ln>
              <a:effectLst/>
              <a:scene3d>
                <a:camera prst="orthographicFront"/>
                <a:lightRig rig="threePt" dir="t"/>
              </a:scene3d>
              <a:sp3d contourW="25400"/>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[工作簿1]Sheet1!$C$5:$E$5</c:f>
              <c:strCache>
                <c:ptCount val="3"/>
                <c:pt idx="0">
                  <c:v>财政拨款收入</c:v>
                </c:pt>
                <c:pt idx="2">
                  <c:v>其他收入</c:v>
                </c:pt>
              </c:strCache>
            </c:strRef>
          </c:cat>
          <c:val>
            <c:numRef>
              <c:f>[工作簿1]Sheet1!$C$6:$E$6</c:f>
              <c:numCache>
                <c:formatCode>General</c:formatCode>
                <c:ptCount val="3"/>
                <c:pt idx="0">
                  <c:v>3801.31</c:v>
                </c:pt>
                <c:pt idx="2">
                  <c:v>638.27</c:v>
                </c:pt>
              </c:numCache>
            </c:numRef>
          </c:val>
        </c:ser>
        <c:dLbls>
          <c:showLegendKey val="0"/>
          <c:showVal val="1"/>
          <c:showCatName val="0"/>
          <c:showSerName val="0"/>
          <c:showPercent val="0"/>
          <c:showBubbleSize val="0"/>
        </c:dLbls>
      </c:pie3D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view3D>
      <c:rotX val="30"/>
      <c:rotY val="0"/>
      <c:depthPercent val="100"/>
      <c:rAngAx val="0"/>
    </c:view3D>
    <c:floor>
      <c:thickness val="0"/>
      <c:spPr>
        <a:noFill/>
        <a:effectLst/>
      </c:spPr>
    </c:floor>
    <c:sideWall>
      <c:thickness val="0"/>
      <c:spPr>
        <a:noFill/>
        <a:effectLst/>
      </c:spPr>
    </c:sideWall>
    <c:backWall>
      <c:thickness val="0"/>
      <c:spPr>
        <a:noFill/>
        <a:effectLst/>
      </c:spPr>
    </c:backWall>
    <c:plotArea>
      <c:layout/>
      <c:pie3DChart>
        <c:varyColors val="1"/>
        <c:ser>
          <c:idx val="0"/>
          <c:order val="0"/>
          <c:spPr>
            <a:scene3d>
              <a:camera prst="orthographicFront"/>
              <a:lightRig rig="threePt" dir="t"/>
            </a:scene3d>
            <a:sp3d contourW="25400"/>
          </c:spPr>
          <c:explosion val="0"/>
          <c:dPt>
            <c:idx val="0"/>
            <c:bubble3D val="0"/>
            <c:spPr>
              <a:solidFill>
                <a:schemeClr val="accent1"/>
              </a:solidFill>
              <a:ln w="25400">
                <a:solidFill>
                  <a:schemeClr val="lt1"/>
                </a:solidFill>
              </a:ln>
              <a:effectLst/>
              <a:scene3d>
                <a:camera prst="orthographicFront"/>
                <a:lightRig rig="threePt" dir="t"/>
              </a:scene3d>
              <a:sp3d contourW="25400"/>
            </c:spPr>
          </c:dPt>
          <c:dPt>
            <c:idx val="1"/>
            <c:bubble3D val="0"/>
            <c:spPr>
              <a:solidFill>
                <a:schemeClr val="accent2"/>
              </a:solidFill>
              <a:ln w="25400">
                <a:solidFill>
                  <a:schemeClr val="lt1"/>
                </a:solidFill>
              </a:ln>
              <a:effectLst/>
              <a:scene3d>
                <a:camera prst="orthographicFront"/>
                <a:lightRig rig="threePt" dir="t"/>
              </a:scene3d>
              <a:sp3d contourW="25400"/>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[工作簿1]Sheet1!$B$31:$C$31</c:f>
              <c:strCache>
                <c:ptCount val="2"/>
                <c:pt idx="0">
                  <c:v>基本支出</c:v>
                </c:pt>
                <c:pt idx="1">
                  <c:v>项目支出</c:v>
                </c:pt>
              </c:strCache>
            </c:strRef>
          </c:cat>
          <c:val>
            <c:numRef>
              <c:f>[工作簿1]Sheet1!$B$32:$C$32</c:f>
              <c:numCache>
                <c:formatCode>General</c:formatCode>
                <c:ptCount val="2"/>
                <c:pt idx="0">
                  <c:v>0</c:v>
                </c:pt>
                <c:pt idx="1">
                  <c:v>5374.06</c:v>
                </c:pt>
              </c:numCache>
            </c:numRef>
          </c:val>
        </c:ser>
        <c:dLbls>
          <c:showLegendKey val="0"/>
          <c:showVal val="1"/>
          <c:showCatName val="0"/>
          <c:showSerName val="0"/>
          <c:showPercent val="0"/>
          <c:showBubbleSize val="0"/>
        </c:dLbls>
      </c:pie3D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3</TotalTime>
  <ScaleCrop>false</ScaleCrop>
  <LinksUpToDate>false</LinksUpToDate>
  <CharactersWithSpaces>6143</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fuying</cp:lastModifiedBy>
  <cp:lastPrinted>2020-08-08T03:39:00Z</cp:lastPrinted>
  <dcterms:modified xsi:type="dcterms:W3CDTF">2024-09-02T09:07:48Z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435078ACFECC4A5A8A519EF4C3681114_13</vt:lpwstr>
  </property>
</Properties>
</file>