
<file path=[Content_Types].xml><?xml version="1.0" encoding="utf-8"?>
<Types xmlns="http://schemas.openxmlformats.org/package/2006/content-types">
  <Default Extension="xls" ContentType="application/vnd.ms-excel"/>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2023年度部门决算公开</w:t>
      </w:r>
    </w:p>
    <w:p>
      <w:pPr>
        <w:pStyle w:val="2"/>
        <w:ind w:firstLine="1440"/>
        <w:rPr>
          <w:rFonts w:ascii="黑体" w:eastAsia="黑体"/>
          <w:sz w:val="72"/>
          <w:szCs w:val="72"/>
        </w:rPr>
      </w:pPr>
    </w:p>
    <w:p>
      <w:pPr>
        <w:jc w:val="center"/>
        <w:rPr>
          <w:rFonts w:ascii="宋体" w:hAnsi="宋体"/>
          <w:sz w:val="36"/>
          <w:szCs w:val="36"/>
        </w:rPr>
      </w:pPr>
      <w:r>
        <w:rPr>
          <w:rFonts w:hint="eastAsia" w:ascii="宋体" w:hAnsi="宋体"/>
          <w:sz w:val="36"/>
          <w:szCs w:val="36"/>
        </w:rPr>
        <w:t>单位名称：北京石刻艺术博物馆</w:t>
      </w:r>
    </w:p>
    <w:p>
      <w:pPr>
        <w:pStyle w:val="2"/>
        <w:ind w:firstLine="420"/>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1.主要职责</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石刻艺术博物馆的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2.机构设置情况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本单位内设机构为：办公室、文创部、保管部、开放部、展陈部、保卫科，共6个部门。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行政编制0人，实有人数0人；事业编制35人，实有人数30人。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2366.22</w:t>
      </w:r>
      <w:r>
        <w:rPr>
          <w:rFonts w:hint="eastAsia" w:ascii="仿宋_GB2312" w:eastAsia="仿宋_GB2312"/>
          <w:sz w:val="28"/>
          <w:szCs w:val="28"/>
        </w:rPr>
        <w:t>万元，</w:t>
      </w:r>
      <w:r>
        <w:rPr>
          <w:rFonts w:ascii="仿宋_GB2312" w:eastAsia="仿宋_GB2312"/>
          <w:sz w:val="28"/>
          <w:szCs w:val="28"/>
        </w:rPr>
        <w:t>比上年增加86.42</w:t>
      </w:r>
      <w:r>
        <w:rPr>
          <w:rFonts w:hint="eastAsia" w:ascii="仿宋_GB2312" w:eastAsia="仿宋_GB2312"/>
          <w:sz w:val="28"/>
          <w:szCs w:val="28"/>
        </w:rPr>
        <w:t>万元，增长3</w:t>
      </w:r>
      <w:r>
        <w:rPr>
          <w:rFonts w:ascii="仿宋_GB2312" w:eastAsia="仿宋_GB2312"/>
          <w:sz w:val="28"/>
          <w:szCs w:val="28"/>
        </w:rPr>
        <w:t>.79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2260.26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0</w:t>
      </w:r>
      <w:r>
        <w:rPr>
          <w:rFonts w:ascii="仿宋_GB2312" w:eastAsia="仿宋_GB2312"/>
          <w:sz w:val="28"/>
          <w:szCs w:val="28"/>
        </w:rPr>
        <w:t>.17</w:t>
      </w:r>
      <w:r>
        <w:rPr>
          <w:rFonts w:hint="eastAsia" w:ascii="仿宋_GB2312" w:eastAsia="仿宋_GB2312"/>
          <w:sz w:val="28"/>
          <w:szCs w:val="28"/>
        </w:rPr>
        <w:t>万元，增长</w:t>
      </w:r>
      <w:r>
        <w:rPr>
          <w:rFonts w:ascii="仿宋_GB2312" w:eastAsia="仿宋_GB2312"/>
          <w:sz w:val="28"/>
          <w:szCs w:val="28"/>
        </w:rPr>
        <w:t>0.01</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1984.66</w:t>
      </w:r>
      <w:r>
        <w:rPr>
          <w:rFonts w:hint="eastAsia" w:ascii="仿宋_GB2312" w:eastAsia="仿宋_GB2312"/>
          <w:sz w:val="28"/>
          <w:szCs w:val="28"/>
        </w:rPr>
        <w:t>万元，占收入合计的87.80%。其中：一般公共预算财政拨款收入</w:t>
      </w:r>
      <w:r>
        <w:rPr>
          <w:rFonts w:ascii="仿宋_GB2312" w:eastAsia="仿宋_GB2312"/>
          <w:sz w:val="28"/>
          <w:szCs w:val="28"/>
        </w:rPr>
        <w:t>1984.66</w:t>
      </w:r>
      <w:r>
        <w:rPr>
          <w:rFonts w:hint="eastAsia" w:ascii="仿宋_GB2312" w:eastAsia="仿宋_GB2312"/>
          <w:sz w:val="28"/>
          <w:szCs w:val="28"/>
        </w:rPr>
        <w:t>万元，占收入合计的87.81%；政府性基金预算财政拨款收入</w:t>
      </w:r>
      <w:r>
        <w:rPr>
          <w:rFonts w:ascii="仿宋_GB2312" w:eastAsia="仿宋_GB2312"/>
          <w:sz w:val="28"/>
          <w:szCs w:val="28"/>
        </w:rPr>
        <w:t>0</w:t>
      </w:r>
      <w:r>
        <w:rPr>
          <w:rFonts w:hint="eastAsia" w:ascii="仿宋_GB2312" w:eastAsia="仿宋_GB2312"/>
          <w:sz w:val="28"/>
          <w:szCs w:val="28"/>
        </w:rPr>
        <w:t>.00万元，占收入合计的0.00%；国有资本经营预算财政拨款收入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157.5</w:t>
      </w:r>
      <w:r>
        <w:rPr>
          <w:rFonts w:hint="eastAsia" w:ascii="仿宋_GB2312" w:eastAsia="仿宋_GB2312"/>
          <w:sz w:val="28"/>
          <w:szCs w:val="28"/>
        </w:rPr>
        <w:t>0万元，占收入合计的6.97%；</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.00万元，占收入合计的0.00%；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118.1</w:t>
      </w:r>
      <w:r>
        <w:rPr>
          <w:rFonts w:hint="eastAsia" w:ascii="仿宋_GB2312" w:eastAsia="仿宋_GB2312"/>
          <w:sz w:val="28"/>
          <w:szCs w:val="28"/>
        </w:rPr>
        <w:t>0万元，占收入合计的5.22%。</w:t>
      </w:r>
    </w:p>
    <w:p>
      <w:pPr>
        <w:pStyle w:val="3"/>
        <w:jc w:val="center"/>
        <w:rPr>
          <w:rFonts w:ascii="仿宋_GB2312" w:eastAsia="仿宋_GB2312"/>
          <w:color w:val="000000"/>
          <w:sz w:val="32"/>
        </w:rPr>
      </w:pPr>
      <w:r>
        <w:rPr>
          <w:rFonts w:hint="eastAsia" w:ascii="仿宋_GB2312" w:eastAsia="仿宋_GB2312"/>
          <w:color w:val="000000"/>
          <w:sz w:val="32"/>
        </w:rPr>
        <w:t>图1：收入决算</w:t>
      </w:r>
    </w:p>
    <w:p>
      <w:pPr>
        <w:jc w:val="center"/>
      </w:pPr>
      <w:r>
        <w:rPr>
          <w:rFonts w:hint="eastAsia"/>
        </w:rPr>
        <w:object>
          <v:shape id="_x0000_i1025" o:spt="75" type="#_x0000_t75" style="height:174pt;width:262.5pt;" o:ole="t" filled="f" o:preferrelative="t" stroked="f" coordsize="21600,21600">
            <v:path/>
            <v:fill on="f" focussize="0,0"/>
            <v:stroke on="f" joinstyle="miter"/>
            <v:imagedata r:id="rId8" o:title=""/>
            <o:lock v:ext="edit" aspectratio="t"/>
            <w10:wrap type="none"/>
            <w10:anchorlock/>
          </v:shape>
          <o:OLEObject Type="Embed" ProgID="Excel.Chart.8" ShapeID="_x0000_i1025" DrawAspect="Content" ObjectID="_1468075725" r:id="rId7">
            <o:LockedField>false</o:LockedField>
          </o:OLEObject>
        </w:object>
      </w:r>
    </w:p>
    <w:p>
      <w:pPr>
        <w:pStyle w:val="2"/>
        <w:ind w:firstLine="420"/>
        <w:rPr>
          <w:rFonts w:hint="eastAsia"/>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cs="Droid Sans"/>
          <w:color w:val="000000"/>
          <w:sz w:val="32"/>
          <w:szCs w:val="32"/>
        </w:rPr>
      </w:pPr>
      <w:r>
        <w:rPr>
          <w:rFonts w:hint="eastAsia" w:ascii="仿宋_GB2312" w:eastAsia="仿宋_GB2312"/>
          <w:sz w:val="28"/>
          <w:szCs w:val="28"/>
        </w:rPr>
        <w:t>2023年度本年支出合计</w:t>
      </w:r>
      <w:r>
        <w:rPr>
          <w:rFonts w:ascii="仿宋_GB2312" w:eastAsia="仿宋_GB2312"/>
          <w:sz w:val="28"/>
          <w:szCs w:val="28"/>
        </w:rPr>
        <w:t>2264.44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191.30万元，增长9.23%，其中：基本支出</w:t>
      </w:r>
      <w:r>
        <w:rPr>
          <w:rFonts w:ascii="仿宋_GB2312" w:eastAsia="仿宋_GB2312"/>
          <w:sz w:val="28"/>
          <w:szCs w:val="28"/>
        </w:rPr>
        <w:t>1566.62</w:t>
      </w:r>
      <w:r>
        <w:rPr>
          <w:rFonts w:hint="eastAsia" w:ascii="仿宋_GB2312" w:eastAsia="仿宋_GB2312"/>
          <w:sz w:val="28"/>
          <w:szCs w:val="28"/>
        </w:rPr>
        <w:t>万元，占支出合计的69.18%；项目支出</w:t>
      </w:r>
      <w:r>
        <w:rPr>
          <w:rFonts w:ascii="仿宋_GB2312" w:eastAsia="仿宋_GB2312"/>
          <w:sz w:val="28"/>
          <w:szCs w:val="28"/>
        </w:rPr>
        <w:t>697.82</w:t>
      </w:r>
      <w:r>
        <w:rPr>
          <w:rFonts w:hint="eastAsia" w:ascii="仿宋_GB2312" w:eastAsia="仿宋_GB2312"/>
          <w:sz w:val="28"/>
          <w:szCs w:val="28"/>
        </w:rPr>
        <w:t>万元，占支出合计的30.82%;上缴上级支出</w:t>
      </w:r>
      <w:r>
        <w:rPr>
          <w:rFonts w:ascii="仿宋_GB2312" w:eastAsia="仿宋_GB2312"/>
          <w:sz w:val="28"/>
          <w:szCs w:val="28"/>
        </w:rPr>
        <w:t>0</w:t>
      </w:r>
      <w:r>
        <w:rPr>
          <w:rFonts w:hint="eastAsia" w:ascii="仿宋_GB2312" w:eastAsia="仿宋_GB2312"/>
          <w:sz w:val="28"/>
          <w:szCs w:val="28"/>
        </w:rPr>
        <w:t>.00万元，占支出合计的0.00%；经营支出</w:t>
      </w:r>
      <w:r>
        <w:rPr>
          <w:rFonts w:ascii="仿宋_GB2312" w:eastAsia="仿宋_GB2312"/>
          <w:sz w:val="28"/>
          <w:szCs w:val="28"/>
        </w:rPr>
        <w:t>0</w:t>
      </w:r>
      <w:r>
        <w:rPr>
          <w:rFonts w:hint="eastAsia" w:ascii="仿宋_GB2312" w:eastAsia="仿宋_GB2312"/>
          <w:sz w:val="28"/>
          <w:szCs w:val="28"/>
        </w:rPr>
        <w:t>.00万元，占支出合计的0.00%；对附属单位补助支出</w:t>
      </w:r>
      <w:r>
        <w:rPr>
          <w:rFonts w:ascii="仿宋_GB2312" w:eastAsia="仿宋_GB2312"/>
          <w:sz w:val="28"/>
          <w:szCs w:val="28"/>
        </w:rPr>
        <w:t>0</w:t>
      </w:r>
      <w:r>
        <w:rPr>
          <w:rFonts w:hint="eastAsia" w:ascii="仿宋_GB2312" w:eastAsia="仿宋_GB2312"/>
          <w:sz w:val="28"/>
          <w:szCs w:val="28"/>
        </w:rPr>
        <w:t>.00万元，占支出合计的0.00%。</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eastAsia="仿宋_GB2312"/>
        </w:rPr>
        <w:object>
          <v:shape id="_x0000_i1026" o:spt="75" type="#_x0000_t75" style="height:265.5pt;width:312.75pt;" o:ole="t" filled="f" o:preferrelative="t" stroked="f" coordsize="21600,21600">
            <v:path/>
            <v:fill on="f" focussize="0,0"/>
            <v:stroke on="f" joinstyle="miter"/>
            <v:imagedata r:id="rId10" o:title=""/>
            <o:lock v:ext="edit" aspectratio="t"/>
            <w10:wrap type="none"/>
            <w10:anchorlock/>
          </v:shape>
          <o:OLEObject Type="Embed" ProgID="Excel.Chart.8" ShapeID="_x0000_i1026" DrawAspect="Content" ObjectID="_1468075726" r:id="rId9">
            <o:LockedField>false</o:LockedField>
          </o:OLEObject>
        </w:objec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2090.62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12.41万元，增长0.60%。主要原因：为挖掘馆藏品的历史文化内涵，助力北京“博物馆之城”建设，申请经费落实“保护第一，加强管理，挖掘价值，有效利用，让文物活起来”的新时代文物工作方针，提升馆藏文物的保护管理水平。</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1988.83</w:t>
      </w:r>
      <w:r>
        <w:rPr>
          <w:rFonts w:hint="eastAsia" w:ascii="仿宋_GB2312" w:eastAsia="仿宋_GB2312"/>
          <w:sz w:val="28"/>
          <w:szCs w:val="28"/>
        </w:rPr>
        <w:t>万元，主要用于以下方面（按大类）：文化旅游体育与传媒支出1953.28万元，占本年财政拨款支出98.21%；社会保障和就业支出35.55万元，占本年财政拨款支出1.79%。</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1、“文化旅游体育与传媒支出”（类）2023年度决算1953.28万元，比2023年度年初预算减少122.50万元，下降5.90%。其中：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“文物”（款）2023年度决算1953.28万元，比2023年度年初预算减少122.50万元，下降5.90%。主要原因：贯彻厉行节约方针政策，压缩本年一般性支出。</w:t>
      </w:r>
    </w:p>
    <w:p>
      <w:pPr>
        <w:numPr>
          <w:ilvl w:val="0"/>
          <w:numId w:val="1"/>
        </w:numPr>
        <w:spacing w:line="580" w:lineRule="exact"/>
        <w:ind w:firstLine="560" w:firstLineChars="200"/>
        <w:rPr>
          <w:rFonts w:ascii="仿宋_GB2312" w:eastAsia="仿宋_GB2312"/>
          <w:sz w:val="28"/>
          <w:szCs w:val="28"/>
        </w:rPr>
      </w:pPr>
      <w:r>
        <w:rPr>
          <w:rFonts w:hint="eastAsia" w:ascii="仿宋_GB2312" w:eastAsia="仿宋_GB2312"/>
          <w:sz w:val="28"/>
          <w:szCs w:val="28"/>
        </w:rPr>
        <w:t>“社会保障和就业支出”(类)2023年度决算35.55万元，比2023年度年初预算减少2.29万元，下降6.05%。</w:t>
      </w:r>
    </w:p>
    <w:p>
      <w:pPr>
        <w:spacing w:line="580" w:lineRule="exac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“行政事业单位养老支出”（款）2023年度决算35.55万元，比2023年度年初预算减少2.29万元，下降6.05%。主要原因：落实政府过紧日子要求，严格控制经费支出。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1424.97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.00万元，其中：（1）工资福利支出包括基本工资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0</w:t>
      </w:r>
      <w:r>
        <w:rPr>
          <w:rFonts w:hint="eastAsia" w:ascii="仿宋_GB2312" w:eastAsia="仿宋_GB2312"/>
          <w:sz w:val="28"/>
          <w:szCs w:val="28"/>
        </w:rPr>
        <w:t>个行政单位、0个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1.72</w:t>
      </w:r>
      <w:r>
        <w:rPr>
          <w:rFonts w:hint="eastAsia" w:ascii="仿宋_GB2312" w:eastAsia="仿宋_GB2312"/>
          <w:sz w:val="28"/>
          <w:szCs w:val="28"/>
        </w:rPr>
        <w:t>万元，比2023年度“三公”经费财政拨款年初预算</w:t>
      </w:r>
      <w:r>
        <w:rPr>
          <w:rFonts w:ascii="仿宋_GB2312" w:eastAsia="仿宋_GB2312"/>
          <w:sz w:val="28"/>
          <w:szCs w:val="28"/>
        </w:rPr>
        <w:t>3.46</w:t>
      </w:r>
      <w:r>
        <w:rPr>
          <w:rFonts w:hint="eastAsia" w:ascii="仿宋_GB2312" w:eastAsia="仿宋_GB2312"/>
          <w:sz w:val="28"/>
          <w:szCs w:val="28"/>
        </w:rPr>
        <w:t>万元减少</w:t>
      </w:r>
      <w:r>
        <w:rPr>
          <w:rFonts w:ascii="仿宋_GB2312" w:eastAsia="仿宋_GB2312"/>
          <w:sz w:val="28"/>
          <w:szCs w:val="28"/>
        </w:rPr>
        <w:t>1.74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w:t>
      </w:r>
      <w:r>
        <w:rPr>
          <w:rFonts w:hint="eastAsia" w:ascii="仿宋_GB2312" w:eastAsia="仿宋_GB2312"/>
          <w:sz w:val="28"/>
          <w:szCs w:val="28"/>
        </w:rPr>
        <w:t>.00万元相比无变化；2023年度本单位无因公出国（境）费用。</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0.99</w:t>
      </w:r>
      <w:r>
        <w:rPr>
          <w:rFonts w:hint="eastAsia" w:ascii="仿宋_GB2312" w:eastAsia="仿宋_GB2312"/>
          <w:sz w:val="28"/>
          <w:szCs w:val="28"/>
        </w:rPr>
        <w:t>万元减少</w:t>
      </w:r>
      <w:r>
        <w:rPr>
          <w:rFonts w:ascii="仿宋_GB2312" w:eastAsia="仿宋_GB2312"/>
          <w:sz w:val="28"/>
          <w:szCs w:val="28"/>
        </w:rPr>
        <w:t>0.99</w:t>
      </w:r>
      <w:r>
        <w:rPr>
          <w:rFonts w:hint="eastAsia" w:ascii="仿宋_GB2312" w:eastAsia="仿宋_GB2312"/>
          <w:sz w:val="28"/>
          <w:szCs w:val="28"/>
        </w:rPr>
        <w:t>万元。主要原因：落实政府厉行勤俭节约要求，严格控制公务接待数量、规模和接待标准，公务接待费减少。2023年度无公务接待费支出。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1.7</w:t>
      </w:r>
      <w:r>
        <w:rPr>
          <w:rFonts w:hint="eastAsia" w:ascii="仿宋_GB2312" w:eastAsia="仿宋_GB2312"/>
          <w:sz w:val="28"/>
          <w:szCs w:val="28"/>
        </w:rPr>
        <w:t>2万元，比2023年度年初预算数</w:t>
      </w:r>
      <w:r>
        <w:rPr>
          <w:rFonts w:ascii="仿宋_GB2312" w:eastAsia="仿宋_GB2312"/>
          <w:sz w:val="28"/>
          <w:szCs w:val="28"/>
        </w:rPr>
        <w:t>2.47</w:t>
      </w:r>
      <w:r>
        <w:rPr>
          <w:rFonts w:hint="eastAsia" w:ascii="仿宋_GB2312" w:eastAsia="仿宋_GB2312"/>
          <w:sz w:val="28"/>
          <w:szCs w:val="28"/>
        </w:rPr>
        <w:t>万元减少0.75万元。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.00万元，比2023年度年初预算数</w:t>
      </w:r>
      <w:r>
        <w:rPr>
          <w:rFonts w:ascii="仿宋_GB2312" w:eastAsia="仿宋_GB2312"/>
          <w:sz w:val="28"/>
          <w:szCs w:val="28"/>
        </w:rPr>
        <w:t>0</w:t>
      </w:r>
      <w:r>
        <w:rPr>
          <w:rFonts w:hint="eastAsia" w:ascii="仿宋_GB2312" w:eastAsia="仿宋_GB2312"/>
          <w:sz w:val="28"/>
          <w:szCs w:val="28"/>
        </w:rPr>
        <w:t>.00万元相比无变化，2023年度购置（更新）0辆，车均购置费0.00万元。公务用车运行维护费2023年度决算数</w:t>
      </w:r>
      <w:r>
        <w:rPr>
          <w:rFonts w:ascii="仿宋_GB2312" w:eastAsia="仿宋_GB2312"/>
          <w:sz w:val="28"/>
          <w:szCs w:val="28"/>
        </w:rPr>
        <w:t>1.72</w:t>
      </w:r>
      <w:r>
        <w:rPr>
          <w:rFonts w:hint="eastAsia" w:ascii="仿宋_GB2312" w:eastAsia="仿宋_GB2312"/>
          <w:sz w:val="28"/>
          <w:szCs w:val="28"/>
        </w:rPr>
        <w:t>万元，比2023年度年初预算数</w:t>
      </w:r>
      <w:r>
        <w:rPr>
          <w:rFonts w:ascii="仿宋_GB2312" w:eastAsia="仿宋_GB2312"/>
          <w:sz w:val="28"/>
          <w:szCs w:val="28"/>
        </w:rPr>
        <w:t>2.47</w:t>
      </w:r>
      <w:r>
        <w:rPr>
          <w:rFonts w:hint="eastAsia" w:ascii="仿宋_GB2312" w:eastAsia="仿宋_GB2312"/>
          <w:sz w:val="28"/>
          <w:szCs w:val="28"/>
        </w:rPr>
        <w:t>万元减少</w:t>
      </w:r>
      <w:r>
        <w:rPr>
          <w:rFonts w:ascii="仿宋_GB2312" w:eastAsia="仿宋_GB2312"/>
          <w:sz w:val="28"/>
          <w:szCs w:val="28"/>
        </w:rPr>
        <w:t>0.75</w:t>
      </w:r>
      <w:r>
        <w:rPr>
          <w:rFonts w:hint="eastAsia" w:ascii="仿宋_GB2312" w:eastAsia="仿宋_GB2312"/>
          <w:sz w:val="28"/>
          <w:szCs w:val="28"/>
        </w:rPr>
        <w:t>万元，主要原因：落实政府过紧日子要求，坚持厉行节约开支。2023年度公务用车运行维护费中，公务用车加油</w:t>
      </w:r>
      <w:r>
        <w:rPr>
          <w:rFonts w:ascii="仿宋_GB2312" w:eastAsia="仿宋_GB2312"/>
          <w:sz w:val="28"/>
          <w:szCs w:val="28"/>
        </w:rPr>
        <w:t>0.7</w:t>
      </w:r>
      <w:r>
        <w:rPr>
          <w:rFonts w:hint="eastAsia" w:ascii="仿宋_GB2312" w:eastAsia="仿宋_GB2312"/>
          <w:sz w:val="28"/>
          <w:szCs w:val="28"/>
        </w:rPr>
        <w:t>0万元，公务用车维修</w:t>
      </w:r>
      <w:r>
        <w:rPr>
          <w:rFonts w:ascii="仿宋_GB2312" w:eastAsia="仿宋_GB2312"/>
          <w:sz w:val="28"/>
          <w:szCs w:val="28"/>
        </w:rPr>
        <w:t>0.67</w:t>
      </w:r>
      <w:r>
        <w:rPr>
          <w:rFonts w:hint="eastAsia" w:ascii="仿宋_GB2312" w:eastAsia="仿宋_GB2312"/>
          <w:sz w:val="28"/>
          <w:szCs w:val="28"/>
        </w:rPr>
        <w:t>万元，公务用车保险</w:t>
      </w:r>
      <w:r>
        <w:rPr>
          <w:rFonts w:ascii="仿宋_GB2312" w:eastAsia="仿宋_GB2312"/>
          <w:sz w:val="28"/>
          <w:szCs w:val="28"/>
        </w:rPr>
        <w:t>0.2</w:t>
      </w:r>
      <w:r>
        <w:rPr>
          <w:rFonts w:hint="eastAsia" w:ascii="仿宋_GB2312" w:eastAsia="仿宋_GB2312"/>
          <w:sz w:val="28"/>
          <w:szCs w:val="28"/>
        </w:rPr>
        <w:t>0万元，公务用车其他支出</w:t>
      </w:r>
      <w:r>
        <w:rPr>
          <w:rFonts w:ascii="仿宋_GB2312" w:eastAsia="仿宋_GB2312"/>
          <w:sz w:val="28"/>
          <w:szCs w:val="28"/>
        </w:rPr>
        <w:t>0.15</w:t>
      </w:r>
      <w:r>
        <w:rPr>
          <w:rFonts w:hint="eastAsia" w:ascii="仿宋_GB2312" w:eastAsia="仿宋_GB2312"/>
          <w:sz w:val="28"/>
          <w:szCs w:val="28"/>
        </w:rPr>
        <w:t>万元。2023年度公务用车保有量1辆，车均运行维护费1.72万元。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本单位不在机关运行经费统计范围之内。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657.53</w:t>
      </w:r>
      <w:r>
        <w:rPr>
          <w:rFonts w:hint="eastAsia" w:ascii="仿宋_GB2312" w:eastAsia="仿宋_GB2312"/>
          <w:sz w:val="28"/>
          <w:szCs w:val="28"/>
        </w:rPr>
        <w:t>万元，其中：政府采购货物支出</w:t>
      </w:r>
      <w:r>
        <w:rPr>
          <w:rFonts w:ascii="仿宋_GB2312" w:eastAsia="仿宋_GB2312"/>
          <w:sz w:val="28"/>
          <w:szCs w:val="28"/>
        </w:rPr>
        <w:t>11.63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.00万元，政府采购服务支出</w:t>
      </w:r>
      <w:r>
        <w:rPr>
          <w:rFonts w:ascii="仿宋_GB2312" w:eastAsia="仿宋_GB2312"/>
          <w:sz w:val="28"/>
          <w:szCs w:val="28"/>
        </w:rPr>
        <w:t>645.89</w:t>
      </w:r>
      <w:r>
        <w:rPr>
          <w:rFonts w:hint="eastAsia" w:ascii="仿宋_GB2312" w:eastAsia="仿宋_GB2312"/>
          <w:sz w:val="28"/>
          <w:szCs w:val="28"/>
        </w:rPr>
        <w:t>万元。授予中小企业合同金额</w:t>
      </w:r>
      <w:r>
        <w:rPr>
          <w:rFonts w:ascii="仿宋_GB2312" w:eastAsia="仿宋_GB2312"/>
          <w:sz w:val="28"/>
          <w:szCs w:val="28"/>
        </w:rPr>
        <w:t>623.75</w:t>
      </w:r>
      <w:r>
        <w:rPr>
          <w:rFonts w:hint="eastAsia" w:ascii="仿宋_GB2312" w:eastAsia="仿宋_GB2312"/>
          <w:sz w:val="28"/>
          <w:szCs w:val="28"/>
        </w:rPr>
        <w:t>万元，占政府采购支出总额的94.86%，其中：授予小微企业合同金额</w:t>
      </w:r>
      <w:r>
        <w:rPr>
          <w:rFonts w:ascii="仿宋_GB2312" w:eastAsia="仿宋_GB2312"/>
          <w:sz w:val="28"/>
          <w:szCs w:val="28"/>
        </w:rPr>
        <w:t>281.85</w:t>
      </w:r>
      <w:r>
        <w:rPr>
          <w:rFonts w:hint="eastAsia" w:ascii="仿宋_GB2312" w:eastAsia="仿宋_GB2312"/>
          <w:sz w:val="28"/>
          <w:szCs w:val="28"/>
        </w:rPr>
        <w:t>万元，占政府采购支出总额的42.86%。</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0台（套），共计0.00万元。截至12月31日，单位共有车辆1台，共计17.18万元；单位价值100万元（含）以上的设备1台（套），共计360.44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本单位不属于政府购买服务统计范围。</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b/>
          <w:color w:val="000000"/>
          <w:spacing w:val="-2"/>
          <w:sz w:val="32"/>
          <w:szCs w:val="32"/>
        </w:rPr>
      </w:pPr>
      <w:r>
        <w:rPr>
          <w:rFonts w:hint="eastAsia" w:ascii="仿宋_GB2312" w:eastAsia="仿宋_GB2312"/>
          <w:sz w:val="28"/>
          <w:szCs w:val="28"/>
        </w:rPr>
        <w:t>7.各单位需根据自身业务职能，补充当年使用的所有支出功能分类项级科目名词解释：</w:t>
      </w:r>
    </w:p>
    <w:p>
      <w:pPr>
        <w:ind w:firstLine="560" w:firstLineChars="200"/>
        <w:rPr>
          <w:rFonts w:ascii="仿宋_GB2312" w:eastAsia="仿宋_GB2312"/>
          <w:sz w:val="28"/>
          <w:szCs w:val="28"/>
        </w:rPr>
      </w:pPr>
      <w:r>
        <w:rPr>
          <w:rFonts w:hint="eastAsia" w:ascii="仿宋_GB2312" w:eastAsia="仿宋_GB2312"/>
          <w:sz w:val="28"/>
          <w:szCs w:val="28"/>
        </w:rPr>
        <w:t>(1)文化旅游体育与传媒支出（类）文物（款）行政运行（项）： 反映单位的基本支出。</w:t>
      </w:r>
    </w:p>
    <w:p>
      <w:pPr>
        <w:ind w:firstLine="560" w:firstLineChars="200"/>
        <w:rPr>
          <w:rFonts w:ascii="仿宋_GB2312" w:eastAsia="仿宋_GB2312"/>
          <w:sz w:val="28"/>
          <w:szCs w:val="28"/>
        </w:rPr>
      </w:pPr>
      <w:r>
        <w:rPr>
          <w:rFonts w:hint="eastAsia" w:ascii="仿宋_GB2312" w:eastAsia="仿宋_GB2312"/>
          <w:sz w:val="28"/>
          <w:szCs w:val="28"/>
        </w:rPr>
        <w:t>(2)文化旅游体育与传媒支出（类）文物（款）其他文物支出（项）：反映除行政运行、一般行政管理事务、机关服务、文物保护、博物馆、历史文化名城与古迹以外用于文物方面的支出。</w:t>
      </w:r>
    </w:p>
    <w:p>
      <w:pPr>
        <w:ind w:firstLine="560" w:firstLineChars="200"/>
        <w:rPr>
          <w:rFonts w:ascii="仿宋_GB2312" w:eastAsia="仿宋_GB2312"/>
          <w:sz w:val="28"/>
          <w:szCs w:val="28"/>
        </w:rPr>
      </w:pPr>
      <w:r>
        <w:rPr>
          <w:rFonts w:hint="eastAsia" w:ascii="仿宋_GB2312" w:eastAsia="仿宋_GB2312"/>
          <w:sz w:val="28"/>
          <w:szCs w:val="28"/>
        </w:rPr>
        <w:t>(3)教育支出（类）进修及培训（款）培训支出（项）：反映各部门安排的用于培训的支出。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w:t>
      </w:r>
    </w:p>
    <w:p>
      <w:pPr>
        <w:ind w:firstLine="560" w:firstLineChars="200"/>
        <w:rPr>
          <w:rFonts w:ascii="黑体" w:eastAsia="黑体"/>
          <w:sz w:val="28"/>
          <w:szCs w:val="28"/>
        </w:rPr>
      </w:pPr>
      <w:r>
        <w:rPr>
          <w:rFonts w:hint="eastAsia" w:ascii="仿宋_GB2312" w:eastAsia="仿宋_GB2312"/>
          <w:sz w:val="28"/>
          <w:szCs w:val="28"/>
        </w:rPr>
        <w:t>无。</w:t>
      </w:r>
    </w:p>
    <w:p>
      <w:pPr>
        <w:ind w:firstLine="560" w:firstLineChars="200"/>
        <w:rPr>
          <w:rFonts w:ascii="黑体" w:eastAsia="黑体"/>
          <w:sz w:val="28"/>
          <w:szCs w:val="28"/>
        </w:rPr>
      </w:pPr>
      <w:r>
        <w:rPr>
          <w:rFonts w:hint="eastAsia" w:ascii="黑体" w:eastAsia="黑体"/>
          <w:sz w:val="28"/>
          <w:szCs w:val="28"/>
        </w:rPr>
        <w:t>二、项目支出绩效评价报告</w:t>
      </w:r>
    </w:p>
    <w:p>
      <w:pPr>
        <w:ind w:firstLine="560" w:firstLineChars="200"/>
        <w:rPr>
          <w:rFonts w:ascii="黑体" w:eastAsia="黑体"/>
          <w:sz w:val="28"/>
          <w:szCs w:val="28"/>
        </w:rPr>
      </w:pPr>
      <w:r>
        <w:rPr>
          <w:rFonts w:hint="eastAsia" w:ascii="仿宋_GB2312" w:eastAsia="仿宋_GB2312"/>
          <w:sz w:val="28"/>
          <w:szCs w:val="28"/>
        </w:rPr>
        <w:t>无。</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ind w:firstLine="560" w:firstLineChars="200"/>
        <w:rPr>
          <w:rFonts w:ascii="黑体" w:eastAsia="黑体"/>
          <w:sz w:val="28"/>
          <w:szCs w:val="28"/>
        </w:rPr>
      </w:pPr>
      <w:r>
        <w:rPr>
          <w:rFonts w:hint="eastAsia" w:ascii="仿宋_GB2312" w:eastAsia="仿宋_GB2312"/>
          <w:sz w:val="28"/>
          <w:szCs w:val="28"/>
        </w:rPr>
        <w:t>1.馆藏文物保护修复项目</w:t>
      </w:r>
    </w:p>
    <w:tbl>
      <w:tblPr>
        <w:tblStyle w:val="10"/>
        <w:tblW w:w="14940" w:type="dxa"/>
        <w:tblInd w:w="93" w:type="dxa"/>
        <w:tblLayout w:type="autofit"/>
        <w:tblCellMar>
          <w:top w:w="0" w:type="dxa"/>
          <w:left w:w="108" w:type="dxa"/>
          <w:bottom w:w="0" w:type="dxa"/>
          <w:right w:w="108" w:type="dxa"/>
        </w:tblCellMar>
      </w:tblPr>
      <w:tblGrid>
        <w:gridCol w:w="930"/>
        <w:gridCol w:w="1299"/>
        <w:gridCol w:w="1299"/>
        <w:gridCol w:w="3072"/>
        <w:gridCol w:w="1152"/>
        <w:gridCol w:w="1152"/>
        <w:gridCol w:w="1716"/>
        <w:gridCol w:w="936"/>
        <w:gridCol w:w="828"/>
        <w:gridCol w:w="2556"/>
      </w:tblGrid>
      <w:tr>
        <w:trPr>
          <w:trHeight w:val="405" w:hRule="atLeast"/>
        </w:trPr>
        <w:tc>
          <w:tcPr>
            <w:tcW w:w="1494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94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11000022T000000430017-馆藏文物保护修复项目</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32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3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32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45.745104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9.97 </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45.864500 </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45.745104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9.97 </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97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03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97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对馆藏5件套8件石质文物进行保护修复。在对文物进行检测分析的基础上制定保护修复方案，通过充分试验选择适合的保护材料和工艺，严格依照方案进行清洗、脱盐、加固、灌浆等步骤的施工，切实改善文物保存状况，延长文物寿命。 </w:t>
            </w:r>
          </w:p>
        </w:tc>
        <w:tc>
          <w:tcPr>
            <w:tcW w:w="603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完成了馆藏5件套8件石质文物保护修复工作，改善了文物保存状况，延长了文物寿命。 </w:t>
            </w:r>
          </w:p>
        </w:tc>
      </w:tr>
      <w:tr>
        <w:tblPrEx>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29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restart"/>
            <w:tcBorders>
              <w:top w:val="single" w:color="auto" w:sz="4" w:space="0"/>
              <w:left w:val="single" w:color="auto"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299" w:type="dxa"/>
            <w:tcBorders>
              <w:top w:val="single" w:color="auto"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保护修复5件套计8件馆藏石质文物</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5套</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5套</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000000" w:sz="4" w:space="0"/>
              <w:left w:val="single" w:color="auto" w:sz="4" w:space="0"/>
              <w:bottom w:val="nil"/>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000000"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restart"/>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截止12月31日资金支付进度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99.74%</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1.99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设备较预算节约0.119396万元</w:t>
            </w:r>
          </w:p>
        </w:tc>
      </w:tr>
      <w:tr>
        <w:tblPrEx>
          <w:tblCellMar>
            <w:top w:w="0" w:type="dxa"/>
            <w:left w:w="108" w:type="dxa"/>
            <w:bottom w:w="0" w:type="dxa"/>
            <w:right w:w="108" w:type="dxa"/>
          </w:tblCellMar>
        </w:tblPrEx>
        <w:trPr>
          <w:trHeight w:val="7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2023年6月前项目方案制定完成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2023年12月前项目结项完成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2023年2月前项目立项完成</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偏差原因分析：缺少相关材料支撑</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改进措施：今后将加强收集和留存相关绩效支撑材料</w:t>
            </w:r>
          </w:p>
        </w:tc>
      </w:tr>
      <w:tr>
        <w:tblPrEx>
          <w:tblCellMar>
            <w:top w:w="0" w:type="dxa"/>
            <w:left w:w="108" w:type="dxa"/>
            <w:bottom w:w="0" w:type="dxa"/>
            <w:right w:w="108" w:type="dxa"/>
          </w:tblCellMar>
        </w:tblPrEx>
        <w:trPr>
          <w:trHeight w:val="520" w:hRule="atLeast"/>
        </w:trPr>
        <w:tc>
          <w:tcPr>
            <w:tcW w:w="930"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3072"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截止6月30日资金支付进度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60.35%</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299"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成本总预算控制数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≤45.8645万元</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45.745104万元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设备较预算节约0.119396万元</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对文物进行检测分析改善文物保存状况</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通过对文物进行检测分析，馆藏文物保护修复，改善了文物的保存状况</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有效延长文物寿命</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待观察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偏差原因分析：项目完成时间尚短，需要长期观测</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改进措施：以后加强项目收集和留存相关绩效支撑材料</w:t>
            </w:r>
          </w:p>
        </w:tc>
      </w:tr>
      <w:tr>
        <w:tblPrEx>
          <w:tblCellMar>
            <w:top w:w="0" w:type="dxa"/>
            <w:left w:w="108" w:type="dxa"/>
            <w:bottom w:w="0" w:type="dxa"/>
            <w:right w:w="108" w:type="dxa"/>
          </w:tblCellMar>
        </w:tblPrEx>
        <w:trPr>
          <w:trHeight w:val="1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29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30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项目单位执行部门人员满意度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71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nil"/>
              <w:left w:val="nil"/>
              <w:bottom w:val="nil"/>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5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800" w:hRule="atLeast"/>
        </w:trPr>
        <w:tc>
          <w:tcPr>
            <w:tcW w:w="10620"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93.47 </w:t>
            </w:r>
          </w:p>
        </w:tc>
        <w:tc>
          <w:tcPr>
            <w:tcW w:w="0" w:type="auto"/>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20"/>
                <w:szCs w:val="20"/>
              </w:rPr>
            </w:pPr>
          </w:p>
        </w:tc>
      </w:tr>
    </w:tbl>
    <w:p>
      <w:pPr>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2.石刻馆网站运行维护项目</w:t>
      </w:r>
    </w:p>
    <w:tbl>
      <w:tblPr>
        <w:tblStyle w:val="10"/>
        <w:tblW w:w="14850" w:type="dxa"/>
        <w:tblInd w:w="93" w:type="dxa"/>
        <w:tblLayout w:type="autofit"/>
        <w:tblCellMar>
          <w:top w:w="0" w:type="dxa"/>
          <w:left w:w="108" w:type="dxa"/>
          <w:bottom w:w="0" w:type="dxa"/>
          <w:right w:w="108" w:type="dxa"/>
        </w:tblCellMar>
      </w:tblPr>
      <w:tblGrid>
        <w:gridCol w:w="983"/>
        <w:gridCol w:w="1103"/>
        <w:gridCol w:w="1104"/>
        <w:gridCol w:w="2447"/>
        <w:gridCol w:w="1284"/>
        <w:gridCol w:w="1176"/>
        <w:gridCol w:w="1536"/>
        <w:gridCol w:w="936"/>
        <w:gridCol w:w="936"/>
        <w:gridCol w:w="3345"/>
      </w:tblGrid>
      <w:tr>
        <w:tblPrEx>
          <w:tblCellMar>
            <w:top w:w="0" w:type="dxa"/>
            <w:left w:w="108" w:type="dxa"/>
            <w:bottom w:w="0" w:type="dxa"/>
            <w:right w:w="108" w:type="dxa"/>
          </w:tblCellMar>
        </w:tblPrEx>
        <w:trPr>
          <w:trHeight w:val="405" w:hRule="atLeast"/>
        </w:trPr>
        <w:tc>
          <w:tcPr>
            <w:tcW w:w="1485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5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11000022Y000000434100-石刻馆网站运行维护项目</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90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5217"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19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90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吴东</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5217"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13717612913</w:t>
            </w:r>
          </w:p>
        </w:tc>
      </w:tr>
      <w:tr>
        <w:tblPrEx>
          <w:tblCellMar>
            <w:top w:w="0" w:type="dxa"/>
            <w:left w:w="108" w:type="dxa"/>
            <w:bottom w:w="0" w:type="dxa"/>
            <w:right w:w="108" w:type="dxa"/>
          </w:tblCellMar>
        </w:tblPrEx>
        <w:trPr>
          <w:trHeight w:val="522" w:hRule="atLeast"/>
        </w:trPr>
        <w:tc>
          <w:tcPr>
            <w:tcW w:w="319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19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98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114"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79"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11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石刻艺术博物馆官网自2015年上线，截止2021年7日已安全无事故运行6年，年点击率超100万次。为提高石刻馆的知名度，为受众提供了解、学习石刻知识的平台，解决网站专业运行管理人员和必要的硬件存放空间，解决网站软硬件的日常运行维护，减少黑客攻击及不良信息传播。特此申请《石刻馆网站运行维护项目》预算为12万元/年。自2018年至今，网站托管运维方公司为北京立创联达科技有限公司。</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为受众提供了了解、学习石刻知识的平台，解决了网站专业运行管理人员和必要的硬件存放空间以及网站软硬件的日常运行维护，减少了黑客攻击及不良信息传播。</w:t>
            </w:r>
          </w:p>
        </w:tc>
      </w:tr>
      <w:tr>
        <w:tblPrEx>
          <w:tblCellMar>
            <w:top w:w="0" w:type="dxa"/>
            <w:left w:w="108" w:type="dxa"/>
            <w:bottom w:w="0" w:type="dxa"/>
            <w:right w:w="108" w:type="dxa"/>
          </w:tblCellMar>
        </w:tblPrEx>
        <w:trPr>
          <w:trHeight w:val="679" w:hRule="atLeast"/>
        </w:trPr>
        <w:tc>
          <w:tcPr>
            <w:tcW w:w="98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0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2U机位占用-标准机位数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0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网址资源占用-独立公网IP地址个数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0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网站访问人次</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≥11.2万人次</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10.25万人次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3.66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偏差原因分析：网站样式8年没有更新导致未完成指标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改进措施：申请项目资金升级改版</w:t>
            </w:r>
          </w:p>
        </w:tc>
      </w:tr>
      <w:tr>
        <w:tblPrEx>
          <w:tblCellMar>
            <w:top w:w="0" w:type="dxa"/>
            <w:left w:w="108" w:type="dxa"/>
            <w:bottom w:w="0" w:type="dxa"/>
            <w:right w:w="108" w:type="dxa"/>
          </w:tblCellMar>
        </w:tblPrEx>
        <w:trPr>
          <w:trHeight w:val="4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网站内容发布</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≥350条</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418条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网站不能访问率控制在以下</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≤0.01%</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0.00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偏差原因分析：因硬件老化问题导致出现3次不能访问的情况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改进措施：申请项目资金更换</w:t>
            </w:r>
          </w:p>
        </w:tc>
      </w:tr>
      <w:tr>
        <w:tblPrEx>
          <w:tblCellMar>
            <w:top w:w="0" w:type="dxa"/>
            <w:left w:w="108" w:type="dxa"/>
            <w:bottom w:w="0" w:type="dxa"/>
            <w:right w:w="108" w:type="dxa"/>
          </w:tblCellMar>
        </w:tblPrEx>
        <w:trPr>
          <w:trHeight w:val="4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不良政治言论出现率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出现宕机事故率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2月前项目立项完成率</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截止7月预算执行进度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6月前完成网站内容发布</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52%</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实际完成183条</w:t>
            </w: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11月前完成网站内容发布</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107%</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实际完成376条</w:t>
            </w: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截止3月预算执行进度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技术人员费分项成本控制数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机位占用费分项成本控制数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项目总成本控制数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宽带占用费分项成本控制数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2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后台技术服务费分项成本控制数</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对石刻知识</w:t>
            </w:r>
            <w:bookmarkStart w:id="0" w:name="_GoBack"/>
            <w:bookmarkEnd w:id="0"/>
            <w:r>
              <w:rPr>
                <w:rFonts w:hint="eastAsia" w:ascii="宋体" w:hAnsi="宋体" w:cs="宋体"/>
                <w:color w:val="000000"/>
                <w:kern w:val="0"/>
                <w:sz w:val="20"/>
                <w:szCs w:val="20"/>
                <w:lang w:bidi="ar"/>
              </w:rPr>
              <w:t>的学习、了解程度的提升程度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通过栏目的修改、内容的发布，石刻知识的学习、了解程度有所提升</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54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对石刻馆的知名度的提升程度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网站访问人次较往年有所降低</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3345"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560" w:hRule="atLeast"/>
        </w:trPr>
        <w:tc>
          <w:tcPr>
            <w:tcW w:w="98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44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网站受众满意度</w:t>
            </w:r>
          </w:p>
        </w:tc>
        <w:tc>
          <w:tcPr>
            <w:tcW w:w="246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≥91%</w:t>
            </w:r>
          </w:p>
        </w:tc>
        <w:tc>
          <w:tcPr>
            <w:tcW w:w="15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93%</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3345"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60" w:hRule="atLeast"/>
        </w:trPr>
        <w:tc>
          <w:tcPr>
            <w:tcW w:w="963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89.66 </w:t>
            </w:r>
          </w:p>
        </w:tc>
        <w:tc>
          <w:tcPr>
            <w:tcW w:w="0" w:type="auto"/>
            <w:tcBorders>
              <w:top w:val="single" w:color="000000" w:sz="4" w:space="0"/>
              <w:left w:val="single" w:color="000000" w:sz="4" w:space="0"/>
              <w:bottom w:val="single" w:color="000000" w:sz="4" w:space="0"/>
              <w:right w:val="single" w:color="auto" w:sz="4" w:space="0"/>
            </w:tcBorders>
            <w:noWrap/>
            <w:vAlign w:val="center"/>
          </w:tcPr>
          <w:p>
            <w:pPr>
              <w:jc w:val="left"/>
              <w:rPr>
                <w:rFonts w:ascii="宋体" w:hAnsi="宋体" w:cs="宋体"/>
                <w:color w:val="000000"/>
                <w:sz w:val="20"/>
                <w:szCs w:val="20"/>
              </w:rPr>
            </w:pPr>
          </w:p>
        </w:tc>
      </w:tr>
    </w:tbl>
    <w:p>
      <w:pPr>
        <w:ind w:firstLine="560" w:firstLineChars="200"/>
        <w:rPr>
          <w:rFonts w:ascii="仿宋_GB2312" w:eastAsia="仿宋_GB2312"/>
          <w:sz w:val="28"/>
          <w:szCs w:val="28"/>
        </w:rPr>
      </w:pPr>
    </w:p>
    <w:p>
      <w:pPr>
        <w:ind w:firstLine="560" w:firstLineChars="200"/>
        <w:rPr>
          <w:rFonts w:ascii="仿宋_GB2312" w:eastAsia="仿宋_GB2312"/>
          <w:sz w:val="28"/>
          <w:szCs w:val="28"/>
        </w:rPr>
      </w:pPr>
      <w:r>
        <w:rPr>
          <w:rFonts w:hint="eastAsia" w:ascii="仿宋_GB2312" w:eastAsia="仿宋_GB2312"/>
          <w:sz w:val="28"/>
          <w:szCs w:val="28"/>
        </w:rPr>
        <w:t>3.北京地区龙王庙石刻调查与研究</w:t>
      </w:r>
    </w:p>
    <w:tbl>
      <w:tblPr>
        <w:tblStyle w:val="10"/>
        <w:tblW w:w="14850" w:type="dxa"/>
        <w:tblInd w:w="93" w:type="dxa"/>
        <w:tblLayout w:type="autofit"/>
        <w:tblCellMar>
          <w:top w:w="0" w:type="dxa"/>
          <w:left w:w="108" w:type="dxa"/>
          <w:bottom w:w="0" w:type="dxa"/>
          <w:right w:w="108" w:type="dxa"/>
        </w:tblCellMar>
      </w:tblPr>
      <w:tblGrid>
        <w:gridCol w:w="1223"/>
        <w:gridCol w:w="1103"/>
        <w:gridCol w:w="1104"/>
        <w:gridCol w:w="2363"/>
        <w:gridCol w:w="1152"/>
        <w:gridCol w:w="1152"/>
        <w:gridCol w:w="2530"/>
        <w:gridCol w:w="936"/>
        <w:gridCol w:w="936"/>
        <w:gridCol w:w="2351"/>
      </w:tblGrid>
      <w:tr>
        <w:tblPrEx>
          <w:tblCellMar>
            <w:top w:w="0" w:type="dxa"/>
            <w:left w:w="108" w:type="dxa"/>
            <w:bottom w:w="0" w:type="dxa"/>
            <w:right w:w="108" w:type="dxa"/>
          </w:tblCellMar>
        </w:tblPrEx>
        <w:trPr>
          <w:trHeight w:val="405" w:hRule="atLeast"/>
        </w:trPr>
        <w:tc>
          <w:tcPr>
            <w:tcW w:w="14850"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50"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11000023T000002096019-北京地区龙王庙石刻调查与研究</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6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223"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4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6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王晓静</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223"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13301209809</w:t>
            </w:r>
          </w:p>
        </w:tc>
      </w:tr>
      <w:tr>
        <w:tblPrEx>
          <w:tblCellMar>
            <w:top w:w="0" w:type="dxa"/>
            <w:left w:w="108" w:type="dxa"/>
            <w:bottom w:w="0" w:type="dxa"/>
            <w:right w:w="108" w:type="dxa"/>
          </w:tblCellMar>
        </w:tblPrEx>
        <w:trPr>
          <w:trHeight w:val="520" w:hRule="atLeast"/>
        </w:trPr>
        <w:tc>
          <w:tcPr>
            <w:tcW w:w="34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6.016000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4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122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7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53"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02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7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城市总体规划(2016年—2035年)提出要加强三条文化带整体保护利用，结合石刻馆多年在石刻调查、保护与研究方面的经验，我们对与西山永定河文化带和大运河文化带息息相关的北京地区龙王庙及相关石刻实地踏勘，信息采集，捶拓相关石刻，梳理并辑录相关石刻，为三条文化带整体保护利用提供可靠的实物例证。同时也通过课题调研，指导培养年青的文物工作者如何进行石刻类文物的调查、整理与研究。</w:t>
            </w:r>
          </w:p>
        </w:tc>
        <w:tc>
          <w:tcPr>
            <w:tcW w:w="6753" w:type="dxa"/>
            <w:gridSpan w:val="4"/>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通过项目的实施，为三条文化带整体保护利用提供了可靠的实物例证，同时为年青的文物工作者关于如何进行石刻类文物的调查、整理与研究提供了指导。</w:t>
            </w:r>
          </w:p>
        </w:tc>
      </w:tr>
      <w:tr>
        <w:tblPrEx>
          <w:tblCellMar>
            <w:top w:w="0" w:type="dxa"/>
            <w:left w:w="108" w:type="dxa"/>
            <w:bottom w:w="0" w:type="dxa"/>
            <w:right w:w="108" w:type="dxa"/>
          </w:tblCellMar>
        </w:tblPrEx>
        <w:trPr>
          <w:trHeight w:val="680" w:hRule="atLeast"/>
        </w:trPr>
        <w:tc>
          <w:tcPr>
            <w:tcW w:w="1223"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3"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auto"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auto"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auto"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000000"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2023年1月项目启动工作</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6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2023年11月前完成实施</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偏差原因分析：项目实施进度滞后1个月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改进措施：以后加强项目预算绩效管理工作，提高实施效率</w:t>
            </w:r>
          </w:p>
        </w:tc>
      </w:tr>
      <w:tr>
        <w:tblPrEx>
          <w:tblCellMar>
            <w:top w:w="0" w:type="dxa"/>
            <w:left w:w="108" w:type="dxa"/>
            <w:bottom w:w="0" w:type="dxa"/>
            <w:right w:w="108" w:type="dxa"/>
          </w:tblCellMar>
        </w:tblPrEx>
        <w:trPr>
          <w:trHeight w:val="60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≤3.53万元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3.53万元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≤1.166万元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1.166万元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≤6.016万元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6.016万元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4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≤1.32万元</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vMerge w:val="restart"/>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351"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08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研究成果刊发报道率</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偏差原因分析：年初指标值偏低，导致扣分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改进措施：今后加强绩效目标编制的合理性</w:t>
            </w:r>
          </w:p>
        </w:tc>
      </w:tr>
      <w:tr>
        <w:tblPrEx>
          <w:tblCellMar>
            <w:top w:w="0" w:type="dxa"/>
            <w:left w:w="108" w:type="dxa"/>
            <w:bottom w:w="0" w:type="dxa"/>
            <w:right w:w="108" w:type="dxa"/>
          </w:tblCellMar>
        </w:tblPrEx>
        <w:trPr>
          <w:trHeight w:val="2660" w:hRule="atLeast"/>
        </w:trPr>
        <w:tc>
          <w:tcPr>
            <w:tcW w:w="1223"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36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通过项目实施为三条文化带整体保护利用提供可靠的实物例</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对龙王庙石刻的梳理研究，为北京地区的大运河文化带、西山永定河文化带的保护、传承和利用提供可靠的实物例证。推动北京地区石刻文物的深入持久研究，持续发挥基础作用；通过“一对一”帮带，把石刻馆的优良传统和研究方法传授给年轻的文博工作者</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偏差原因分析：相关材料支撑不充分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改进措施：今后加强相关绩效支撑材料收集、整理及归档工作</w:t>
            </w:r>
          </w:p>
        </w:tc>
      </w:tr>
      <w:tr>
        <w:tblPrEx>
          <w:tblCellMar>
            <w:top w:w="0" w:type="dxa"/>
            <w:left w:w="108" w:type="dxa"/>
            <w:bottom w:w="0" w:type="dxa"/>
            <w:right w:w="108" w:type="dxa"/>
          </w:tblCellMar>
        </w:tblPrEx>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restart"/>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vMerge w:val="restart"/>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偏差原因分析：未进行满意度调查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1340" w:hRule="atLeast"/>
        </w:trPr>
        <w:tc>
          <w:tcPr>
            <w:tcW w:w="1223" w:type="dxa"/>
            <w:vMerge w:val="continue"/>
            <w:tcBorders>
              <w:top w:val="single" w:color="000000" w:sz="4" w:space="0"/>
              <w:left w:val="single" w:color="auto" w:sz="4" w:space="0"/>
              <w:bottom w:val="single" w:color="000000" w:sz="4" w:space="0"/>
              <w:right w:val="single" w:color="auto" w:sz="4" w:space="0"/>
            </w:tcBorders>
            <w:vAlign w:val="center"/>
          </w:tcPr>
          <w:p>
            <w:pPr>
              <w:jc w:val="center"/>
              <w:rPr>
                <w:rFonts w:ascii="宋体" w:hAnsi="宋体" w:cs="宋体"/>
                <w:color w:val="000000"/>
                <w:sz w:val="20"/>
                <w:szCs w:val="20"/>
              </w:rPr>
            </w:pPr>
          </w:p>
        </w:tc>
        <w:tc>
          <w:tcPr>
            <w:tcW w:w="1103" w:type="dxa"/>
            <w:vMerge w:val="continue"/>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auto" w:sz="4" w:space="0"/>
              <w:left w:val="single" w:color="000000" w:sz="4" w:space="0"/>
              <w:bottom w:val="single" w:color="auto" w:sz="4" w:space="0"/>
              <w:right w:val="single" w:color="auto" w:sz="4" w:space="0"/>
            </w:tcBorders>
            <w:vAlign w:val="center"/>
          </w:tcPr>
          <w:p>
            <w:pPr>
              <w:jc w:val="center"/>
              <w:rPr>
                <w:rFonts w:ascii="宋体" w:hAnsi="宋体" w:cs="宋体"/>
                <w:color w:val="000000"/>
                <w:sz w:val="20"/>
                <w:szCs w:val="20"/>
              </w:rPr>
            </w:pPr>
          </w:p>
        </w:tc>
        <w:tc>
          <w:tcPr>
            <w:tcW w:w="2363" w:type="dxa"/>
            <w:tcBorders>
              <w:top w:val="single" w:color="000000" w:sz="4" w:space="0"/>
              <w:left w:val="single" w:color="auto"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30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5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51"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偏差原因分析：未进行满意度调查</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480" w:hRule="atLeast"/>
        </w:trPr>
        <w:tc>
          <w:tcPr>
            <w:tcW w:w="10627"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94.60 </w:t>
            </w:r>
          </w:p>
        </w:tc>
        <w:tc>
          <w:tcPr>
            <w:tcW w:w="0" w:type="auto"/>
            <w:tcBorders>
              <w:top w:val="single" w:color="000000" w:sz="4" w:space="0"/>
              <w:left w:val="single" w:color="000000" w:sz="4" w:space="0"/>
              <w:bottom w:val="single" w:color="000000" w:sz="4" w:space="0"/>
              <w:right w:val="single" w:color="auto" w:sz="4" w:space="0"/>
            </w:tcBorders>
            <w:noWrap/>
            <w:vAlign w:val="center"/>
          </w:tcPr>
          <w:p>
            <w:pPr>
              <w:rPr>
                <w:rFonts w:ascii="宋体" w:hAnsi="宋体" w:cs="宋体"/>
                <w:color w:val="000000"/>
                <w:sz w:val="20"/>
                <w:szCs w:val="20"/>
              </w:rPr>
            </w:pPr>
          </w:p>
        </w:tc>
      </w:tr>
    </w:tbl>
    <w:p>
      <w:pPr>
        <w:ind w:firstLine="560" w:firstLineChars="200"/>
        <w:rPr>
          <w:rFonts w:ascii="黑体" w:eastAsia="黑体"/>
          <w:sz w:val="28"/>
          <w:szCs w:val="28"/>
        </w:rPr>
      </w:pPr>
      <w:r>
        <w:rPr>
          <w:rFonts w:hint="eastAsia" w:ascii="仿宋_GB2312" w:eastAsia="仿宋_GB2312"/>
          <w:sz w:val="28"/>
          <w:szCs w:val="28"/>
        </w:rPr>
        <w:t>4.北京石刻艺术博物馆灯箱改造工程</w:t>
      </w:r>
    </w:p>
    <w:tbl>
      <w:tblPr>
        <w:tblStyle w:val="10"/>
        <w:tblW w:w="14310" w:type="dxa"/>
        <w:tblInd w:w="93" w:type="dxa"/>
        <w:tblLayout w:type="autofit"/>
        <w:tblCellMar>
          <w:top w:w="0" w:type="dxa"/>
          <w:left w:w="108" w:type="dxa"/>
          <w:bottom w:w="0" w:type="dxa"/>
          <w:right w:w="108" w:type="dxa"/>
        </w:tblCellMar>
      </w:tblPr>
      <w:tblGrid>
        <w:gridCol w:w="929"/>
        <w:gridCol w:w="1298"/>
        <w:gridCol w:w="1300"/>
        <w:gridCol w:w="2078"/>
        <w:gridCol w:w="1570"/>
        <w:gridCol w:w="1370"/>
        <w:gridCol w:w="1370"/>
        <w:gridCol w:w="1270"/>
        <w:gridCol w:w="1170"/>
        <w:gridCol w:w="1955"/>
      </w:tblGrid>
      <w:tr>
        <w:tblPrEx>
          <w:tblCellMar>
            <w:top w:w="0" w:type="dxa"/>
            <w:left w:w="108" w:type="dxa"/>
            <w:bottom w:w="0" w:type="dxa"/>
            <w:right w:w="108" w:type="dxa"/>
          </w:tblCellMar>
        </w:tblPrEx>
        <w:trPr>
          <w:trHeight w:val="405" w:hRule="atLeast"/>
        </w:trPr>
        <w:tc>
          <w:tcPr>
            <w:tcW w:w="14314"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314"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11000023T000002074012-北京石刻艺术博物馆灯箱改造工程</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0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3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01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计小林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3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13901121762</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1956" w:type="dxa"/>
            <w:tcBorders>
              <w:top w:val="single" w:color="000000"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8.371200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1956" w:type="dxa"/>
            <w:tcBorders>
              <w:top w:val="single" w:color="000000" w:sz="4" w:space="0"/>
              <w:left w:val="single" w:color="000000"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618"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576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8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618"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完成灯箱改造</w:t>
            </w:r>
          </w:p>
        </w:tc>
        <w:tc>
          <w:tcPr>
            <w:tcW w:w="576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2023年完成9个灯箱改造，有效规避了安全隐患风险，增强了观众参观体验感。</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灯箱改造数量</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9个</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9个</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5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验收合格率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78" w:type="dxa"/>
            <w:tcBorders>
              <w:top w:val="single" w:color="C2C3C4" w:sz="4" w:space="0"/>
              <w:left w:val="single" w:color="C2C3C4" w:sz="4" w:space="0"/>
              <w:bottom w:val="single" w:color="C2C3C4" w:sz="4" w:space="0"/>
              <w:right w:val="single" w:color="C2C3C4"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2023年12月前完成资金支付进度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1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9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预算总成本控制数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≤8.3712万元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8.3712万元</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有效增强观众参观体验感</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通过灯箱改造，提高了观众参观体验感</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保障年限</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195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7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观众满意度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8.00 </w:t>
            </w:r>
          </w:p>
        </w:tc>
        <w:tc>
          <w:tcPr>
            <w:tcW w:w="195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640" w:hRule="atLeast"/>
        </w:trPr>
        <w:tc>
          <w:tcPr>
            <w:tcW w:w="9918"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93.00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5.真觉寺金刚宝座（五塔寺塔）预防性保护项目</w:t>
      </w:r>
    </w:p>
    <w:tbl>
      <w:tblPr>
        <w:tblStyle w:val="10"/>
        <w:tblW w:w="14745" w:type="dxa"/>
        <w:tblInd w:w="93" w:type="dxa"/>
        <w:tblLayout w:type="autofit"/>
        <w:tblCellMar>
          <w:top w:w="0" w:type="dxa"/>
          <w:left w:w="108" w:type="dxa"/>
          <w:bottom w:w="0" w:type="dxa"/>
          <w:right w:w="108" w:type="dxa"/>
        </w:tblCellMar>
      </w:tblPr>
      <w:tblGrid>
        <w:gridCol w:w="917"/>
        <w:gridCol w:w="1278"/>
        <w:gridCol w:w="1416"/>
        <w:gridCol w:w="2137"/>
        <w:gridCol w:w="1561"/>
        <w:gridCol w:w="1366"/>
        <w:gridCol w:w="1366"/>
        <w:gridCol w:w="1259"/>
        <w:gridCol w:w="1161"/>
        <w:gridCol w:w="2284"/>
      </w:tblGrid>
      <w:tr>
        <w:trPr>
          <w:trHeight w:val="405" w:hRule="atLeast"/>
        </w:trPr>
        <w:tc>
          <w:tcPr>
            <w:tcW w:w="1474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74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11000023T000002074620-真觉寺金刚宝座（五塔寺塔）预防性保护项目</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09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75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09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75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211.707144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208.900000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208.580000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99.85%</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9.98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211.707144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208.900000 </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208.580000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99.85%</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9.98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690"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12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1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项目为真觉寺金刚宝座（五塔寺塔）预防性保护第三期，利用石质文物和文物建筑预防性保护的基本理念，遵循整体设计分布实施的原则，分阶段建立基于价值认知的北京真觉寺金刚宝座预防性保护体系。通过长期动态持续并不断循环反馈的预防性保护工作实现缓解真觉寺金刚宝座本体的病害发展，最大限度降低文物劣化速度的总体目标。</w:t>
            </w:r>
          </w:p>
        </w:tc>
        <w:tc>
          <w:tcPr>
            <w:tcW w:w="612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真觉寺金刚宝座（五塔寺塔）预防性保护第三期工作的完成，基本完善了北京真觉寺金刚宝座预防性保护体系。缓解了真觉寺金刚宝座本体的病害发展，最大限度降低了文物的劣化速度。</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文化遗产监测数量</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1处</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1处</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2023年6月项目启动工作</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16"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0" w:type="auto"/>
            <w:vMerge w:val="restart"/>
            <w:tcBorders>
              <w:top w:val="nil"/>
              <w:left w:val="nil"/>
              <w:bottom w:val="nil"/>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1.58万元</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专家费较预算节约0.32万元</w:t>
            </w: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vMerge w:val="continue"/>
            <w:tcBorders>
              <w:top w:val="nil"/>
              <w:left w:val="nil"/>
              <w:bottom w:val="nil"/>
              <w:right w:val="nil"/>
            </w:tcBorders>
            <w:noWrap/>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≤209.807144万元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207.00万元</w:t>
            </w:r>
          </w:p>
        </w:tc>
        <w:tc>
          <w:tcPr>
            <w:tcW w:w="127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因履行政府采购，投标价低于预算金额，节约资金2.807144万元</w:t>
            </w: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vMerge w:val="continue"/>
            <w:tcBorders>
              <w:top w:val="nil"/>
              <w:left w:val="nil"/>
              <w:bottom w:val="nil"/>
              <w:right w:val="nil"/>
            </w:tcBorders>
            <w:noWrap/>
            <w:vAlign w:val="center"/>
          </w:tcPr>
          <w:p>
            <w:pPr>
              <w:jc w:val="center"/>
              <w:rPr>
                <w:rFonts w:ascii="宋体" w:hAnsi="宋体" w:cs="宋体"/>
                <w:color w:val="000000"/>
                <w:sz w:val="20"/>
                <w:szCs w:val="20"/>
              </w:rPr>
            </w:pP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≤211.707144万元</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208.58万元</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专家费与委托业务费较预算节约3.127144万元</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通过项目实施，对金刚宝座塔进行监测，进一步促进文物保护</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通过项目的实施检测，进一步促进了文物保护</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通过项目实施最大限度降低文物劣化速度。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通过项目的实施，最大限度降低了文物劣化速度。</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偏差原因分析：结合相应支撑材料不够充分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1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管理使用单位满意度</w:t>
            </w:r>
          </w:p>
        </w:tc>
        <w:tc>
          <w:tcPr>
            <w:tcW w:w="294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2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31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860" w:hRule="atLeast"/>
        </w:trPr>
        <w:tc>
          <w:tcPr>
            <w:tcW w:w="9990"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92.98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6.“五色五香——五塔寺端午文化嘉年华”活动</w:t>
      </w:r>
    </w:p>
    <w:tbl>
      <w:tblPr>
        <w:tblStyle w:val="10"/>
        <w:tblW w:w="15375" w:type="dxa"/>
        <w:tblInd w:w="93" w:type="dxa"/>
        <w:tblLayout w:type="autofit"/>
        <w:tblCellMar>
          <w:top w:w="0" w:type="dxa"/>
          <w:left w:w="108" w:type="dxa"/>
          <w:bottom w:w="0" w:type="dxa"/>
          <w:right w:w="108" w:type="dxa"/>
        </w:tblCellMar>
      </w:tblPr>
      <w:tblGrid>
        <w:gridCol w:w="928"/>
        <w:gridCol w:w="1103"/>
        <w:gridCol w:w="1176"/>
        <w:gridCol w:w="2868"/>
        <w:gridCol w:w="1170"/>
        <w:gridCol w:w="1152"/>
        <w:gridCol w:w="2158"/>
        <w:gridCol w:w="936"/>
        <w:gridCol w:w="936"/>
        <w:gridCol w:w="2948"/>
      </w:tblGrid>
      <w:tr>
        <w:tblPrEx>
          <w:tblCellMar>
            <w:top w:w="0" w:type="dxa"/>
            <w:left w:w="108" w:type="dxa"/>
            <w:bottom w:w="0" w:type="dxa"/>
            <w:right w:w="108" w:type="dxa"/>
          </w:tblCellMar>
        </w:tblPrEx>
        <w:trPr>
          <w:trHeight w:val="405" w:hRule="atLeast"/>
        </w:trPr>
        <w:tc>
          <w:tcPr>
            <w:tcW w:w="1538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538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11000023T000002074637-“五色五香——五塔寺端午文化嘉年华”活动</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1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82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21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1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计小林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82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13901121762</w:t>
            </w:r>
          </w:p>
        </w:tc>
      </w:tr>
      <w:tr>
        <w:tblPrEx>
          <w:tblCellMar>
            <w:top w:w="0" w:type="dxa"/>
            <w:left w:w="108" w:type="dxa"/>
            <w:bottom w:w="0" w:type="dxa"/>
            <w:right w:w="108" w:type="dxa"/>
          </w:tblCellMar>
        </w:tblPrEx>
        <w:trPr>
          <w:trHeight w:val="520" w:hRule="atLeast"/>
        </w:trPr>
        <w:tc>
          <w:tcPr>
            <w:tcW w:w="321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48.530300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48.530300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47.030300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21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472"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984"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8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472"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在2023年6月到8月内，通过举办第十届五色五香五塔寺文化嘉年华活动，更好地弘扬传统节日文化和习俗，深入挖掘北京石刻艺术博物馆的文化内涵。 </w:t>
            </w:r>
          </w:p>
        </w:tc>
        <w:tc>
          <w:tcPr>
            <w:tcW w:w="6984"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通过举办第十届五色五香五塔寺文化嘉年华活动，深入挖掘了北京石刻艺术博物馆的文化内涵，更好地弘扬了传统节日文化和习俗。 </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76"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宣传折页</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≥1本</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1本</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举办展览</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≥1场次</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1场次</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分项活动</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≥4项</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4项</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非遗演出</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1场</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参观人数</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≥10000人数</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≥10000人数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分项活动参观人数</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≥5000人数</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≥5000人数</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展览水平</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高</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符合标准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5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截止6月30日资金支付进度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47.8%</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2.70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偏差原因分析：根据行政事业单位关于风险评估的相关规定，修改了支付比例导致资金支付进度未达到70%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改进措施：以后加强项目计划编制的合理性及风险预估</w:t>
            </w: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截止12月31日资金支付进度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2023年6月前完成项目施工</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2023年6月前完成活动前期准备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2023年7月前完成主题展览</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7月</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5月前项目启动完成率</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印刷费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≤1.55万元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1.55万元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数据采集</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≤1.96万元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专家费及展演人员劳务费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≤4.99万元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5.08万元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1.96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3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设计制作布展费</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≤40.0303万元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39.4003万元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5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项目总预算</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≤48.5303万元</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47.0303万元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偏差原因分析：由两场展演改为一场，故资金核减了15000元</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改进措施：以后加强项目实施的计划安排，确保有效执行</w:t>
            </w:r>
          </w:p>
        </w:tc>
      </w:tr>
      <w:tr>
        <w:tblPrEx>
          <w:tblCellMar>
            <w:top w:w="0" w:type="dxa"/>
            <w:left w:w="108" w:type="dxa"/>
            <w:bottom w:w="0" w:type="dxa"/>
            <w:right w:w="108" w:type="dxa"/>
          </w:tblCellMar>
        </w:tblPrEx>
        <w:trPr>
          <w:trHeight w:val="13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效果指标</w:t>
            </w: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打造成为我馆的文化品牌，扩大社会影响力。丰富人民群众的文化生活，促进精神文明建设</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优</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通过项目实施打造出了我馆的文化品牌，扩大了社会影响力，丰富了人民群众的文化生活，促进了精神文明建设</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14.25 </w:t>
            </w:r>
          </w:p>
        </w:tc>
        <w:tc>
          <w:tcPr>
            <w:tcW w:w="295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9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深入挖掘北京石刻艺术博物馆的文化内涵，弘扬传统节日文化和习俗影响</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3年</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12.75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7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非遗演出观众满意度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12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7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87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展览观众满意度</w:t>
            </w:r>
          </w:p>
        </w:tc>
        <w:tc>
          <w:tcPr>
            <w:tcW w:w="232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c>
          <w:tcPr>
            <w:tcW w:w="21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5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偏差原因分析：未开展满意度调查，相应支撑材料不够充分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480" w:hRule="atLeast"/>
        </w:trPr>
        <w:tc>
          <w:tcPr>
            <w:tcW w:w="10562"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92.66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7.北京地区现存民族文字碑刻保护普查项目</w:t>
      </w:r>
    </w:p>
    <w:tbl>
      <w:tblPr>
        <w:tblStyle w:val="10"/>
        <w:tblW w:w="14820" w:type="dxa"/>
        <w:tblInd w:w="93" w:type="dxa"/>
        <w:tblLayout w:type="autofit"/>
        <w:tblCellMar>
          <w:top w:w="0" w:type="dxa"/>
          <w:left w:w="108" w:type="dxa"/>
          <w:bottom w:w="0" w:type="dxa"/>
          <w:right w:w="108" w:type="dxa"/>
        </w:tblCellMar>
      </w:tblPr>
      <w:tblGrid>
        <w:gridCol w:w="929"/>
        <w:gridCol w:w="1103"/>
        <w:gridCol w:w="1104"/>
        <w:gridCol w:w="2471"/>
        <w:gridCol w:w="1356"/>
        <w:gridCol w:w="1392"/>
        <w:gridCol w:w="1883"/>
        <w:gridCol w:w="936"/>
        <w:gridCol w:w="828"/>
        <w:gridCol w:w="2818"/>
      </w:tblGrid>
      <w:tr>
        <w:tblPrEx>
          <w:tblCellMar>
            <w:top w:w="0" w:type="dxa"/>
            <w:left w:w="108" w:type="dxa"/>
            <w:bottom w:w="0" w:type="dxa"/>
            <w:right w:w="108" w:type="dxa"/>
          </w:tblCellMar>
        </w:tblPrEx>
        <w:trPr>
          <w:trHeight w:val="405" w:hRule="atLeast"/>
        </w:trPr>
        <w:tc>
          <w:tcPr>
            <w:tcW w:w="1482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82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11000023T000002074687-北京地区现存民族文字碑刻保护普查项目</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22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58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138"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22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58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2" w:hRule="atLeast"/>
        </w:trPr>
        <w:tc>
          <w:tcPr>
            <w:tcW w:w="3138"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200.155994 </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194.437304 </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190.977784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98.22%</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9.82 </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200.155994 </w:t>
            </w:r>
          </w:p>
        </w:tc>
        <w:tc>
          <w:tcPr>
            <w:tcW w:w="139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194.437304 </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190.977784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98.22%</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9.82 </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138"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428"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468"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07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428"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现存大量以满、蒙、藏、托忒等少数民族语言碑刻文物，是北京历史上各民族交流融合发展的珍贵实物见证。开展北京地区现存民族文字碑刻的保护普查利用激光三维扫描等科技手段进行数字化信息采集、病害调查分析、地理信息建设，对于推动碑刻文物的科学保护，弘扬民族团结精神，</w:t>
            </w:r>
            <w:r>
              <w:rPr>
                <w:rFonts w:hint="eastAsia" w:ascii="宋体" w:hAnsi="宋体" w:cs="宋体"/>
                <w:color w:val="000000"/>
                <w:kern w:val="0"/>
                <w:sz w:val="20"/>
                <w:szCs w:val="20"/>
                <w:lang w:eastAsia="zh-CN" w:bidi="ar"/>
              </w:rPr>
              <w:t>铸牢中华民族共同体意识</w:t>
            </w:r>
            <w:r>
              <w:rPr>
                <w:rFonts w:hint="eastAsia" w:ascii="宋体" w:hAnsi="宋体" w:cs="宋体"/>
                <w:color w:val="000000"/>
                <w:kern w:val="0"/>
                <w:sz w:val="20"/>
                <w:szCs w:val="20"/>
                <w:lang w:bidi="ar"/>
              </w:rPr>
              <w:t>具备重要价值和现实意义。</w:t>
            </w:r>
          </w:p>
        </w:tc>
        <w:tc>
          <w:tcPr>
            <w:tcW w:w="6468"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开展北京地区现存民族文字碑刻的保护普查，利用激光三维扫描等科技手段进行数字化信息采集、病害调查分析、地理信息建设，推动了碑刻文物的科学保护，弘扬了民族团结精神，进一步筑牢了中华民族共同体意识。</w:t>
            </w:r>
          </w:p>
        </w:tc>
      </w:tr>
      <w:tr>
        <w:tblPrEx>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重点碑刻进行拓片数量</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200平方米</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200平方米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普查工作报告数量</w:t>
            </w:r>
          </w:p>
        </w:tc>
        <w:tc>
          <w:tcPr>
            <w:tcW w:w="2748" w:type="dxa"/>
            <w:gridSpan w:val="2"/>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60份</w:t>
            </w:r>
          </w:p>
        </w:tc>
        <w:tc>
          <w:tcPr>
            <w:tcW w:w="1884" w:type="dxa"/>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60份</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8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民族文字碑刻田野普查数量、激光三维扫描及微痕识别碑刻数量</w:t>
            </w:r>
          </w:p>
        </w:tc>
        <w:tc>
          <w:tcPr>
            <w:tcW w:w="0" w:type="auto"/>
            <w:gridSpan w:val="2"/>
            <w:tcBorders>
              <w:left w:val="nil"/>
              <w:bottom w:val="single" w:color="000000" w:sz="4" w:space="0"/>
              <w:right w:val="nil"/>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60个</w:t>
            </w:r>
          </w:p>
        </w:tc>
        <w:tc>
          <w:tcPr>
            <w:tcW w:w="1884" w:type="dxa"/>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60个</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4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专家验收合格率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2023年6月项目启动工作</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285"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2023年12月完成专家验收</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2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0.80748万元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餐费较预算金额节约0.39252万元</w:t>
            </w: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劳务费分项成本控制数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≤4.790304万元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3.910304万元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专家劳务费较预算金额节约0.88万元</w:t>
            </w:r>
          </w:p>
        </w:tc>
      </w:tr>
      <w:tr>
        <w:tblPrEx>
          <w:tblCellMar>
            <w:top w:w="0" w:type="dxa"/>
            <w:left w:w="108" w:type="dxa"/>
            <w:bottom w:w="0" w:type="dxa"/>
            <w:right w:w="108" w:type="dxa"/>
          </w:tblCellMar>
        </w:tblPrEx>
        <w:trPr>
          <w:trHeight w:val="6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项目预算控制数</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≤200.155994万元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190.977784万元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各分项执行有所节约</w:t>
            </w:r>
          </w:p>
        </w:tc>
      </w:tr>
      <w:tr>
        <w:tblPrEx>
          <w:tblCellMar>
            <w:top w:w="0" w:type="dxa"/>
            <w:left w:w="108" w:type="dxa"/>
            <w:bottom w:w="0" w:type="dxa"/>
            <w:right w:w="108" w:type="dxa"/>
          </w:tblCellMar>
        </w:tblPrEx>
        <w:trPr>
          <w:trHeight w:val="132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委托业务费分项成本控制数(含设备）</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≤194.16569万元</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186.26万元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因履行政府采购，投标报价低于预算金额，节约资金5.71869万元（采购控制价191.97869万元，中标价186.26万元）</w:t>
            </w:r>
          </w:p>
        </w:tc>
      </w:tr>
      <w:tr>
        <w:tblPrEx>
          <w:tblCellMar>
            <w:top w:w="0" w:type="dxa"/>
            <w:left w:w="108" w:type="dxa"/>
            <w:bottom w:w="0" w:type="dxa"/>
            <w:right w:w="108" w:type="dxa"/>
          </w:tblCellMar>
        </w:tblPrEx>
        <w:trPr>
          <w:trHeight w:val="12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提升文物保护水平及文物保护意识</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提升了文物保护水平及文物保护意识</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进一步为民族文字碑刻的保护、利用、展示等工作奠定基础</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进一步为民族文字碑刻的保护、利用、展示等工作奠定了基础</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47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管理者满意度</w:t>
            </w:r>
          </w:p>
        </w:tc>
        <w:tc>
          <w:tcPr>
            <w:tcW w:w="274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88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82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改进措施：今后将加强满意度调查工作，收集和留存相关绩效支撑材料</w:t>
            </w:r>
          </w:p>
        </w:tc>
      </w:tr>
      <w:tr>
        <w:tblPrEx>
          <w:tblCellMar>
            <w:top w:w="0" w:type="dxa"/>
            <w:left w:w="108" w:type="dxa"/>
            <w:bottom w:w="0" w:type="dxa"/>
            <w:right w:w="108" w:type="dxa"/>
          </w:tblCellMar>
        </w:tblPrEx>
        <w:trPr>
          <w:trHeight w:val="620" w:hRule="atLeast"/>
        </w:trPr>
        <w:tc>
          <w:tcPr>
            <w:tcW w:w="10242"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92.82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8.酸盐仿生材料在石质文物保护的应用研究</w:t>
      </w:r>
    </w:p>
    <w:tbl>
      <w:tblPr>
        <w:tblStyle w:val="10"/>
        <w:tblW w:w="14715" w:type="dxa"/>
        <w:tblInd w:w="93" w:type="dxa"/>
        <w:tblLayout w:type="autofit"/>
        <w:tblCellMar>
          <w:top w:w="0" w:type="dxa"/>
          <w:left w:w="108" w:type="dxa"/>
          <w:bottom w:w="0" w:type="dxa"/>
          <w:right w:w="108" w:type="dxa"/>
        </w:tblCellMar>
      </w:tblPr>
      <w:tblGrid>
        <w:gridCol w:w="1306"/>
        <w:gridCol w:w="1102"/>
        <w:gridCol w:w="1104"/>
        <w:gridCol w:w="2566"/>
        <w:gridCol w:w="1272"/>
        <w:gridCol w:w="1272"/>
        <w:gridCol w:w="1356"/>
        <w:gridCol w:w="936"/>
        <w:gridCol w:w="828"/>
        <w:gridCol w:w="2973"/>
      </w:tblGrid>
      <w:tr>
        <w:tblPrEx>
          <w:tblCellMar>
            <w:top w:w="0" w:type="dxa"/>
            <w:left w:w="108" w:type="dxa"/>
            <w:bottom w:w="0" w:type="dxa"/>
            <w:right w:w="108" w:type="dxa"/>
          </w:tblCellMar>
        </w:tblPrEx>
        <w:trPr>
          <w:trHeight w:val="405" w:hRule="atLeast"/>
        </w:trPr>
        <w:tc>
          <w:tcPr>
            <w:tcW w:w="14724"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724"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11000023T000002095697-酸盐仿生材料在石质文物保护的应用研究</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511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74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511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卢嘉兵</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740"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15101179239</w:t>
            </w:r>
          </w:p>
        </w:tc>
      </w:tr>
      <w:tr>
        <w:tblPrEx>
          <w:tblCellMar>
            <w:top w:w="0" w:type="dxa"/>
            <w:left w:w="108" w:type="dxa"/>
            <w:bottom w:w="0" w:type="dxa"/>
            <w:right w:w="108" w:type="dxa"/>
          </w:tblCellMar>
        </w:tblPrEx>
        <w:trPr>
          <w:trHeight w:val="522" w:hRule="atLeast"/>
        </w:trPr>
        <w:tc>
          <w:tcPr>
            <w:tcW w:w="351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22.664940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21.628440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20.410490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94.37%</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22.664940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21.628440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20.410490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94.37%</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320"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096"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579"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课题题目中的酸盐仿生材料特指磷酸盐。课题针对北京地区溶蚀、粉化石质文物的特点，利用仿生学的方法手段，研发具有固结防护、抗酸雨性能的磷酸盐石质文物保护材料，得到最佳的材料配方与保护工艺，并在模拟试样及石质文物上进行处理与监测。溶蚀、粉化是北京中轴线汉白玉石质文物的主要风化特征，该课题研究将为北京中轴线石质文物的保护提供科学方案。</w:t>
            </w:r>
          </w:p>
        </w:tc>
        <w:tc>
          <w:tcPr>
            <w:tcW w:w="6096"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通过对多处露天存放的溶蚀粉化石质文物现场调研，设计出一种现场石质文物粉化程度定量评估的新方法——断点法，从而更好地延长了文物寿命，促进了中华文明传承。</w:t>
            </w:r>
          </w:p>
        </w:tc>
      </w:tr>
      <w:tr>
        <w:tblPrEx>
          <w:tblCellMar>
            <w:top w:w="0" w:type="dxa"/>
            <w:left w:w="108" w:type="dxa"/>
            <w:bottom w:w="0" w:type="dxa"/>
            <w:right w:w="108" w:type="dxa"/>
          </w:tblCellMar>
        </w:tblPrEx>
        <w:trPr>
          <w:trHeight w:val="679"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4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976"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设备购置费分项成本控制数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≤1.99984万元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1.89929万元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设备费较预算金额节约1005.5万元</w:t>
            </w: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≤2.4185万元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1.362万元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差旅费较预算金额节约1.0565万元</w:t>
            </w:r>
          </w:p>
        </w:tc>
      </w:tr>
      <w:tr>
        <w:tblPrEx>
          <w:tblCellMar>
            <w:top w:w="0" w:type="dxa"/>
            <w:left w:w="108" w:type="dxa"/>
            <w:bottom w:w="0" w:type="dxa"/>
            <w:right w:w="108" w:type="dxa"/>
          </w:tblCellMar>
        </w:tblPrEx>
        <w:trPr>
          <w:trHeight w:val="7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≤18.2466万元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17.1492万元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专家费误餐费等较预算节约1.0974万元</w:t>
            </w:r>
          </w:p>
        </w:tc>
      </w:tr>
      <w:tr>
        <w:tblPrEx>
          <w:tblCellMar>
            <w:top w:w="0" w:type="dxa"/>
            <w:left w:w="108" w:type="dxa"/>
            <w:bottom w:w="0" w:type="dxa"/>
            <w:right w:w="108" w:type="dxa"/>
          </w:tblCellMar>
        </w:tblPrEx>
        <w:trPr>
          <w:trHeight w:val="12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≤22.66494万元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20.41049万元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年中调整预算1.0365万元，委托业务费及其他费用共节约资金1.21795万元</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有待观察</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偏差原因分析：课题完成尚不足一年，成果采纳情况有待后续观察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通过项目实施为北京中轴线石质文物的保护提供科学方案</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通过项目的实施，为北京中轴线石质文物保护提供了更科学的方案</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偏差原因分析：课题完成尚不足一年，在保护实践中的应用情况有待后续观察。今后将加强相关绩效支撑材料收集、整理及归档工作</w:t>
            </w:r>
          </w:p>
        </w:tc>
      </w:tr>
      <w:tr>
        <w:tblPrEx>
          <w:tblCellMar>
            <w:top w:w="0" w:type="dxa"/>
            <w:left w:w="108" w:type="dxa"/>
            <w:bottom w:w="0" w:type="dxa"/>
            <w:right w:w="108" w:type="dxa"/>
          </w:tblCellMar>
        </w:tblPrEx>
        <w:trPr>
          <w:trHeight w:val="17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56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976"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420" w:hRule="atLeast"/>
        </w:trPr>
        <w:tc>
          <w:tcPr>
            <w:tcW w:w="9984"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88.44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9.北京市露天、半露天石质文物保存环境与病害调查</w:t>
      </w:r>
    </w:p>
    <w:tbl>
      <w:tblPr>
        <w:tblStyle w:val="10"/>
        <w:tblW w:w="13800" w:type="dxa"/>
        <w:tblInd w:w="93" w:type="dxa"/>
        <w:tblLayout w:type="autofit"/>
        <w:tblCellMar>
          <w:top w:w="0" w:type="dxa"/>
          <w:left w:w="108" w:type="dxa"/>
          <w:bottom w:w="0" w:type="dxa"/>
          <w:right w:w="108" w:type="dxa"/>
        </w:tblCellMar>
      </w:tblPr>
      <w:tblGrid>
        <w:gridCol w:w="1125"/>
        <w:gridCol w:w="1101"/>
        <w:gridCol w:w="1104"/>
        <w:gridCol w:w="2123"/>
        <w:gridCol w:w="1272"/>
        <w:gridCol w:w="1272"/>
        <w:gridCol w:w="1511"/>
        <w:gridCol w:w="936"/>
        <w:gridCol w:w="828"/>
        <w:gridCol w:w="2528"/>
      </w:tblGrid>
      <w:tr>
        <w:tblPrEx>
          <w:tblCellMar>
            <w:top w:w="0" w:type="dxa"/>
            <w:left w:w="108" w:type="dxa"/>
            <w:bottom w:w="0" w:type="dxa"/>
            <w:right w:w="108" w:type="dxa"/>
          </w:tblCellMar>
        </w:tblPrEx>
        <w:trPr>
          <w:trHeight w:val="405" w:hRule="atLeast"/>
        </w:trPr>
        <w:tc>
          <w:tcPr>
            <w:tcW w:w="13812"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3812"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11000023T000002095761-北京市露天、半露天石质文物保存环境与病害调查</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6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2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33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6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李迪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2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13911285772</w:t>
            </w:r>
          </w:p>
        </w:tc>
      </w:tr>
      <w:tr>
        <w:tblPrEx>
          <w:tblCellMar>
            <w:top w:w="0" w:type="dxa"/>
            <w:left w:w="108" w:type="dxa"/>
            <w:bottom w:w="0" w:type="dxa"/>
            <w:right w:w="108" w:type="dxa"/>
          </w:tblCellMar>
        </w:tblPrEx>
        <w:trPr>
          <w:trHeight w:val="522" w:hRule="atLeast"/>
        </w:trPr>
        <w:tc>
          <w:tcPr>
            <w:tcW w:w="333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20.260770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97.26%</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9.73 </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20.832278 </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20.260770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97.26%</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9.73 </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333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2" w:hRule="atLeast"/>
        </w:trPr>
        <w:tc>
          <w:tcPr>
            <w:tcW w:w="112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76"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5808"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76"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本课题是延续性课题《北京地区露天、半露天石质文物保存环境与病害调查》的第四阶段，将围绕朝阳区范围内“大运河文化带”及相关区域开展露天、半露天石质文物调查工作，掌握石质文物保存现状，为有针对性地制定保护修复方案提供参考。北京地区现存的石质文物种类十分丰富，数量在全国名列前茅，其中包括了许多极具历史、艺术、科学价值的精品。</w:t>
            </w:r>
          </w:p>
        </w:tc>
        <w:tc>
          <w:tcPr>
            <w:tcW w:w="5808"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通过此次课题的完成，掌握了石质文物保存现状，为有针对性地制定保护修复方案提供了参考。</w:t>
            </w:r>
          </w:p>
        </w:tc>
      </w:tr>
      <w:tr>
        <w:tblPrEx>
          <w:tblCellMar>
            <w:top w:w="0" w:type="dxa"/>
            <w:left w:w="108" w:type="dxa"/>
            <w:bottom w:w="0" w:type="dxa"/>
            <w:right w:w="108" w:type="dxa"/>
          </w:tblCellMar>
        </w:tblPrEx>
        <w:trPr>
          <w:trHeight w:val="679" w:hRule="atLeast"/>
        </w:trPr>
        <w:tc>
          <w:tcPr>
            <w:tcW w:w="112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2023年2月启动工作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2月</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设备费及设备租赁费分项成本控制数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≤2.0177万元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1.90465万元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设备费较预算金额节约0.11305万元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≤20.832278万元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20.26077万元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设备费、专家咨询费及委托业务费较预算金额节约0.571508万元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1.05万元</w:t>
            </w:r>
          </w:p>
        </w:tc>
        <w:tc>
          <w:tcPr>
            <w:tcW w:w="936" w:type="dxa"/>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专家咨询费较预算金额节约0.25万元</w:t>
            </w:r>
          </w:p>
        </w:tc>
      </w:tr>
      <w:tr>
        <w:tblPrEx>
          <w:tblCellMar>
            <w:top w:w="0" w:type="dxa"/>
            <w:left w:w="108" w:type="dxa"/>
            <w:bottom w:w="0" w:type="dxa"/>
            <w:right w:w="108" w:type="dxa"/>
          </w:tblCellMar>
        </w:tblPrEx>
        <w:trPr>
          <w:trHeight w:val="102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委托业务费分项成本控制数（劳务费、餐费、印刷费、材料费）</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≤17.514578万元</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17.30612万元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委托业务成本较预算资金节约0.208458万元</w:t>
            </w:r>
          </w:p>
        </w:tc>
      </w:tr>
      <w:tr>
        <w:tblPrEx>
          <w:tblCellMar>
            <w:top w:w="0" w:type="dxa"/>
            <w:left w:w="108" w:type="dxa"/>
            <w:bottom w:w="0" w:type="dxa"/>
            <w:right w:w="108" w:type="dxa"/>
          </w:tblCellMar>
        </w:tblPrEx>
        <w:trPr>
          <w:trHeight w:val="58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进一步促进文物保护</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进一步促进了文物保护</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14.25 </w:t>
            </w:r>
          </w:p>
        </w:tc>
        <w:tc>
          <w:tcPr>
            <w:tcW w:w="253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通过项目实施掌握石质文物保存现状，为有针对性地制定保护修复方案提供参考依据</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通过项目实施掌握了石质文物保存现状，为制定保护修复方案提供了参考依据</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460" w:hRule="atLeast"/>
        </w:trPr>
        <w:tc>
          <w:tcPr>
            <w:tcW w:w="112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5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740" w:hRule="atLeast"/>
        </w:trPr>
        <w:tc>
          <w:tcPr>
            <w:tcW w:w="9516"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94.48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10.北京石刻艺术博物馆寺庙碑刻整理与研究</w:t>
      </w:r>
    </w:p>
    <w:tbl>
      <w:tblPr>
        <w:tblStyle w:val="10"/>
        <w:tblW w:w="14400" w:type="dxa"/>
        <w:tblInd w:w="93" w:type="dxa"/>
        <w:tblLayout w:type="autofit"/>
        <w:tblCellMar>
          <w:top w:w="0" w:type="dxa"/>
          <w:left w:w="108" w:type="dxa"/>
          <w:bottom w:w="0" w:type="dxa"/>
          <w:right w:w="108" w:type="dxa"/>
        </w:tblCellMar>
      </w:tblPr>
      <w:tblGrid>
        <w:gridCol w:w="1305"/>
        <w:gridCol w:w="1102"/>
        <w:gridCol w:w="1104"/>
        <w:gridCol w:w="2051"/>
        <w:gridCol w:w="1272"/>
        <w:gridCol w:w="1272"/>
        <w:gridCol w:w="1355"/>
        <w:gridCol w:w="936"/>
        <w:gridCol w:w="828"/>
        <w:gridCol w:w="3175"/>
      </w:tblGrid>
      <w:tr>
        <w:tblPrEx>
          <w:tblCellMar>
            <w:top w:w="0" w:type="dxa"/>
            <w:left w:w="108" w:type="dxa"/>
            <w:bottom w:w="0" w:type="dxa"/>
            <w:right w:w="108" w:type="dxa"/>
          </w:tblCellMar>
        </w:tblPrEx>
        <w:trPr>
          <w:trHeight w:val="534" w:hRule="atLeast"/>
        </w:trPr>
        <w:tc>
          <w:tcPr>
            <w:tcW w:w="14412"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412"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11000023T000002095823-北京石刻艺术博物馆寺庙碑刻整理与研究</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59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94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2" w:hRule="atLeast"/>
        </w:trPr>
        <w:tc>
          <w:tcPr>
            <w:tcW w:w="3516"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59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史迪威</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944"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13811401171</w:t>
            </w:r>
          </w:p>
        </w:tc>
      </w:tr>
      <w:tr>
        <w:tblPrEx>
          <w:tblCellMar>
            <w:top w:w="0" w:type="dxa"/>
            <w:left w:w="108" w:type="dxa"/>
            <w:bottom w:w="0" w:type="dxa"/>
            <w:right w:w="108" w:type="dxa"/>
          </w:tblCellMar>
        </w:tblPrEx>
        <w:trPr>
          <w:trHeight w:val="522" w:hRule="atLeast"/>
        </w:trPr>
        <w:tc>
          <w:tcPr>
            <w:tcW w:w="3516"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36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9.232800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84.19%</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8.42 </w:t>
            </w:r>
          </w:p>
        </w:tc>
      </w:tr>
      <w:tr>
        <w:tblPrEx>
          <w:tblCellMar>
            <w:top w:w="0" w:type="dxa"/>
            <w:left w:w="108" w:type="dxa"/>
            <w:bottom w:w="0" w:type="dxa"/>
            <w:right w:w="108" w:type="dxa"/>
          </w:tblCellMar>
        </w:tblPrEx>
        <w:trPr>
          <w:trHeight w:val="287"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10.966400 </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9.232800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84.19%</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8.42 </w:t>
            </w:r>
          </w:p>
        </w:tc>
      </w:tr>
      <w:tr>
        <w:tblPrEx>
          <w:tblCellMar>
            <w:top w:w="0" w:type="dxa"/>
            <w:left w:w="108" w:type="dxa"/>
            <w:bottom w:w="0" w:type="dxa"/>
            <w:right w:w="108" w:type="dxa"/>
          </w:tblCellMar>
        </w:tblPrEx>
        <w:trPr>
          <w:trHeight w:val="402"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377" w:hRule="atLeast"/>
        </w:trPr>
        <w:tc>
          <w:tcPr>
            <w:tcW w:w="3516"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362"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6804"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300"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2779"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04"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北京石刻艺术博物馆收藏有北京地区寺庙碑刻共计92种，时间上至元代，下讫民国，涉及寺、庙、观、堂超过70处，是研究北京历史、政治、民众生活的绝佳材料。此前只有个别碑刻经过研究者的分析考证，绝大多数尚未做过深入研究，也未曾刊布过高清图片。本课题通过对馆藏寺庙碑刻的整理和研究，深入挖掘馆藏品的历史文化内涵，课题成果将为相关领域的研究提供更丰富的素材，助力北京“博物馆之城”建设，以具体行动贯彻落实“保护第一，加强管理，挖掘价值，有效利用，让文物活起来”的新时代文物工作方针。 本课题以北京石刻艺术博物馆寺庙碑刻类藏品为研究对象，进行整体研究和个案分析，并对碑刻原本所在的寺庙观堂加以考证，为文物的展示利用提供科研支撑，推进相关学术研究，有效提升馆藏文物的保护管理水平。</w:t>
            </w:r>
          </w:p>
        </w:tc>
        <w:tc>
          <w:tcPr>
            <w:tcW w:w="6300"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通过此次课题的研究，为文物的展示利用提供了科研支撑，推进了相关学术研究，有效的提升了馆藏文物的保护管理水平。</w:t>
            </w:r>
          </w:p>
        </w:tc>
      </w:tr>
      <w:tr>
        <w:tblPrEx>
          <w:tblCellMar>
            <w:top w:w="0" w:type="dxa"/>
            <w:left w:w="108" w:type="dxa"/>
            <w:bottom w:w="0" w:type="dxa"/>
            <w:right w:w="108" w:type="dxa"/>
          </w:tblCellMar>
        </w:tblPrEx>
        <w:trPr>
          <w:trHeight w:val="679" w:hRule="atLeast"/>
        </w:trPr>
        <w:tc>
          <w:tcPr>
            <w:tcW w:w="1308"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10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54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偏差原因分析：年初指标值设置填报错误，导致完成值与目标值偏差</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改进措施：以后加强项目预算绩效管理工作，合理编制项目绩效目标</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104"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≤1.3164万元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0.195217万元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0.14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偏差原因：因符合课题报告编制要求的历史资料较少，因此1.121183万元未支出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改进措施：以后加强预算编制的准确性</w:t>
            </w:r>
          </w:p>
        </w:tc>
      </w:tr>
      <w:tr>
        <w:tblPrEx>
          <w:tblCellMar>
            <w:top w:w="0" w:type="dxa"/>
            <w:left w:w="108" w:type="dxa"/>
            <w:bottom w:w="0" w:type="dxa"/>
            <w:right w:w="108" w:type="dxa"/>
          </w:tblCellMar>
        </w:tblPrEx>
        <w:trPr>
          <w:trHeight w:val="66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≤1.46万元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因有关专家费节约资金0.46万元</w:t>
            </w:r>
          </w:p>
        </w:tc>
      </w:tr>
      <w:tr>
        <w:tblPrEx>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委托业务费分项成本控制数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≤7.19万元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7.037583万元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因履行采购程序，报价低于预算金额，节约资金0.152417万元</w:t>
            </w:r>
          </w:p>
        </w:tc>
      </w:tr>
      <w:tr>
        <w:tblPrEx>
          <w:tblCellMar>
            <w:top w:w="0" w:type="dxa"/>
            <w:left w:w="108" w:type="dxa"/>
            <w:bottom w:w="0" w:type="dxa"/>
            <w:right w:w="108" w:type="dxa"/>
          </w:tblCellMar>
        </w:tblPrEx>
        <w:trPr>
          <w:trHeight w:val="7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≤10.9664万元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9.2328万元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各分项成本较预算金额共节约1.7336万元</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劳务费分项成本控制数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2.00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为文物的展示利用提供了科研支撑，推进了相关学术研究</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28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通过项目实施有效提升馆藏文物的保护管理水平</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通过项目实施，有效的提升了馆藏文物的保护管理水平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13.50 </w:t>
            </w:r>
          </w:p>
        </w:tc>
        <w:tc>
          <w:tcPr>
            <w:tcW w:w="3180"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偏差原因分析：相应支撑材料不够充分 </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1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52"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课题成果使用主体满意度</w:t>
            </w:r>
          </w:p>
        </w:tc>
        <w:tc>
          <w:tcPr>
            <w:tcW w:w="254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1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3180"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620" w:hRule="atLeast"/>
        </w:trPr>
        <w:tc>
          <w:tcPr>
            <w:tcW w:w="9468"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89.06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autoSpaceDE w:val="0"/>
        <w:autoSpaceDN w:val="0"/>
        <w:adjustRightInd w:val="0"/>
        <w:spacing w:line="580" w:lineRule="exact"/>
        <w:ind w:firstLine="560" w:firstLineChars="200"/>
        <w:jc w:val="left"/>
        <w:rPr>
          <w:rFonts w:ascii="仿宋_GB2312" w:eastAsia="仿宋_GB2312"/>
          <w:sz w:val="28"/>
          <w:szCs w:val="28"/>
        </w:rPr>
      </w:pP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11.北京石刻艺术博物馆书法帖石整理与研究</w:t>
      </w:r>
    </w:p>
    <w:tbl>
      <w:tblPr>
        <w:tblStyle w:val="10"/>
        <w:tblW w:w="14775" w:type="dxa"/>
        <w:tblInd w:w="93" w:type="dxa"/>
        <w:tblLayout w:type="autofit"/>
        <w:tblCellMar>
          <w:top w:w="0" w:type="dxa"/>
          <w:left w:w="108" w:type="dxa"/>
          <w:bottom w:w="0" w:type="dxa"/>
          <w:right w:w="108" w:type="dxa"/>
        </w:tblCellMar>
      </w:tblPr>
      <w:tblGrid>
        <w:gridCol w:w="929"/>
        <w:gridCol w:w="1298"/>
        <w:gridCol w:w="1299"/>
        <w:gridCol w:w="2003"/>
        <w:gridCol w:w="1379"/>
        <w:gridCol w:w="1152"/>
        <w:gridCol w:w="2122"/>
        <w:gridCol w:w="936"/>
        <w:gridCol w:w="828"/>
        <w:gridCol w:w="2829"/>
      </w:tblGrid>
      <w:tr>
        <w:tblPrEx>
          <w:tblCellMar>
            <w:top w:w="0" w:type="dxa"/>
            <w:left w:w="108" w:type="dxa"/>
            <w:bottom w:w="0" w:type="dxa"/>
            <w:right w:w="108" w:type="dxa"/>
          </w:tblCellMar>
        </w:tblPrEx>
        <w:trPr>
          <w:trHeight w:val="405" w:hRule="atLeast"/>
        </w:trPr>
        <w:tc>
          <w:tcPr>
            <w:tcW w:w="14786" w:type="dxa"/>
            <w:gridSpan w:val="10"/>
            <w:tcBorders>
              <w:top w:val="single" w:color="auto" w:sz="4" w:space="0"/>
              <w:left w:val="single" w:color="auto" w:sz="4" w:space="0"/>
              <w:bottom w:val="nil"/>
              <w:right w:val="single" w:color="auto"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项目支出绩效自评表</w:t>
            </w:r>
          </w:p>
        </w:tc>
      </w:tr>
      <w:tr>
        <w:tblPrEx>
          <w:tblCellMar>
            <w:top w:w="0" w:type="dxa"/>
            <w:left w:w="108" w:type="dxa"/>
            <w:bottom w:w="0" w:type="dxa"/>
            <w:right w:w="108" w:type="dxa"/>
          </w:tblCellMar>
        </w:tblPrEx>
        <w:trPr>
          <w:trHeight w:val="315" w:hRule="atLeast"/>
        </w:trPr>
        <w:tc>
          <w:tcPr>
            <w:tcW w:w="14786" w:type="dxa"/>
            <w:gridSpan w:val="10"/>
            <w:tcBorders>
              <w:top w:val="nil"/>
              <w:left w:val="single" w:color="auto" w:sz="4" w:space="0"/>
              <w:bottom w:val="nil"/>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（2023年度）</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0" w:type="auto"/>
            <w:gridSpan w:val="7"/>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11000023T000002095660-北京石刻艺术博物馆书法帖石整理与研究</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主管部门及代码</w:t>
            </w:r>
          </w:p>
        </w:tc>
        <w:tc>
          <w:tcPr>
            <w:tcW w:w="45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45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048008-北京石刻艺术博物馆</w:t>
            </w:r>
          </w:p>
        </w:tc>
      </w:tr>
      <w:tr>
        <w:tblPrEx>
          <w:tblCellMar>
            <w:top w:w="0" w:type="dxa"/>
            <w:left w:w="108" w:type="dxa"/>
            <w:bottom w:w="0" w:type="dxa"/>
            <w:right w:w="108" w:type="dxa"/>
          </w:tblCellMar>
        </w:tblPrEx>
        <w:trPr>
          <w:trHeight w:val="400" w:hRule="atLeast"/>
        </w:trPr>
        <w:tc>
          <w:tcPr>
            <w:tcW w:w="353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w:t>
            </w:r>
          </w:p>
        </w:tc>
        <w:tc>
          <w:tcPr>
            <w:tcW w:w="45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张云燕</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联系电话</w:t>
            </w:r>
          </w:p>
        </w:tc>
        <w:tc>
          <w:tcPr>
            <w:tcW w:w="4596" w:type="dxa"/>
            <w:gridSpan w:val="3"/>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13241420904</w:t>
            </w:r>
          </w:p>
        </w:tc>
      </w:tr>
      <w:tr>
        <w:tblPrEx>
          <w:tblCellMar>
            <w:top w:w="0" w:type="dxa"/>
            <w:left w:w="108" w:type="dxa"/>
            <w:bottom w:w="0" w:type="dxa"/>
            <w:right w:w="108" w:type="dxa"/>
          </w:tblCellMar>
        </w:tblPrEx>
        <w:trPr>
          <w:trHeight w:val="520" w:hRule="atLeast"/>
        </w:trPr>
        <w:tc>
          <w:tcPr>
            <w:tcW w:w="3530" w:type="dxa"/>
            <w:gridSpan w:val="3"/>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ascii="宋体" w:hAnsi="宋体" w:cs="宋体"/>
                <w:color w:val="000000"/>
                <w:sz w:val="20"/>
                <w:szCs w:val="20"/>
              </w:rPr>
            </w:pP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年初预算数</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全年预算数(B)</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全年执行数(C)</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分值（10分）</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执行率(C/B)</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3.610024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94.56%</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其中:当年财政拨款</w:t>
            </w:r>
          </w:p>
        </w:tc>
        <w:tc>
          <w:tcPr>
            <w:tcW w:w="138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11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3.817791 </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3.610024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94.56%</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9.46 </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3530" w:type="dxa"/>
            <w:gridSpan w:val="3"/>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c>
          <w:tcPr>
            <w:tcW w:w="0" w:type="auto"/>
            <w:tcBorders>
              <w:top w:val="single" w:color="000000" w:sz="4" w:space="0"/>
              <w:left w:val="single" w:color="000000" w:sz="4" w:space="0"/>
              <w:bottom w:val="single" w:color="000000" w:sz="4" w:space="0"/>
              <w:right w:val="single" w:color="auto"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w:t>
            </w:r>
          </w:p>
        </w:tc>
      </w:tr>
      <w:tr>
        <w:tblPrEx>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7136" w:type="dxa"/>
            <w:gridSpan w:val="5"/>
            <w:tcBorders>
              <w:top w:val="single" w:color="000000" w:sz="4" w:space="0"/>
              <w:left w:val="single" w:color="000000" w:sz="4" w:space="0"/>
              <w:bottom w:val="single" w:color="000000" w:sz="4" w:space="0"/>
              <w:right w:val="nil"/>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预期目标</w:t>
            </w:r>
          </w:p>
        </w:tc>
        <w:tc>
          <w:tcPr>
            <w:tcW w:w="6720" w:type="dxa"/>
            <w:gridSpan w:val="4"/>
            <w:tcBorders>
              <w:top w:val="single" w:color="000000" w:sz="4" w:space="0"/>
              <w:left w:val="nil"/>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实际完成情况</w:t>
            </w:r>
          </w:p>
        </w:tc>
      </w:tr>
      <w:tr>
        <w:tblPrEx>
          <w:tblCellMar>
            <w:top w:w="0" w:type="dxa"/>
            <w:left w:w="108" w:type="dxa"/>
            <w:bottom w:w="0" w:type="dxa"/>
            <w:right w:w="108" w:type="dxa"/>
          </w:tblCellMar>
        </w:tblPrEx>
        <w:trPr>
          <w:trHeight w:val="128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136"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通过对馆藏大型丛帖之外的书法帖石类文物的整理与研究，进一步夯实博物馆基础工作，挖掘文物的历史艺术内涵，助力博物馆之城建设，为文物展示利用提供科研支撑，提高本馆藏品保护管理水平，以具体行动贯彻落实“保护第一，加强管理，挖掘价值，有效利用，让文物活起来”的新时代文物工作方针。 </w:t>
            </w:r>
          </w:p>
        </w:tc>
        <w:tc>
          <w:tcPr>
            <w:tcW w:w="6720" w:type="dxa"/>
            <w:gridSpan w:val="4"/>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通过对馆藏大型丛帖之外的书法帖石类文物的整理与研究，进一步夯实了博物馆基础工作，为博物馆之城建设提供了助力，为文物展示利用提供了科研支撑，提高了本馆藏品保护管理水平。</w:t>
            </w:r>
          </w:p>
        </w:tc>
      </w:tr>
      <w:tr>
        <w:tblPrEx>
          <w:tblCellMar>
            <w:top w:w="0" w:type="dxa"/>
            <w:left w:w="108" w:type="dxa"/>
            <w:bottom w:w="0" w:type="dxa"/>
            <w:right w:w="108" w:type="dxa"/>
          </w:tblCellMar>
        </w:tblPrEx>
        <w:trPr>
          <w:trHeight w:val="680" w:hRule="atLeast"/>
        </w:trPr>
        <w:tc>
          <w:tcPr>
            <w:tcW w:w="93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绩效指标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年度指标值(A)</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实际完成值</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分值</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得分</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30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课题数量</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1个</w:t>
            </w:r>
          </w:p>
        </w:tc>
        <w:tc>
          <w:tcPr>
            <w:tcW w:w="936"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质量指标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课题评审合格率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2023年5月项目启动工作</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2023年12月前完成实施</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center"/>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2023年12月前完成专家验收</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12月</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11月</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32" w:type="dxa"/>
            <w:tcBorders>
              <w:top w:val="single" w:color="000000" w:sz="4" w:space="0"/>
              <w:left w:val="single" w:color="000000" w:sz="4" w:space="0"/>
              <w:bottom w:val="single" w:color="000000" w:sz="4" w:space="0"/>
              <w:right w:val="single" w:color="auto" w:sz="4" w:space="0"/>
            </w:tcBorders>
            <w:vAlign w:val="center"/>
          </w:tcPr>
          <w:p>
            <w:pPr>
              <w:jc w:val="left"/>
              <w:rPr>
                <w:rFonts w:ascii="宋体" w:hAnsi="宋体" w:cs="宋体"/>
                <w:color w:val="000000"/>
                <w:sz w:val="20"/>
                <w:szCs w:val="20"/>
              </w:rPr>
            </w:pP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1300" w:type="dxa"/>
            <w:vMerge w:val="restart"/>
            <w:tcBorders>
              <w:top w:val="nil"/>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经济成本指标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课题研究总成本控制数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≤3.817791万元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3.610024万元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书籍购置及误餐等费用较预算金额节约0.207767万元</w:t>
            </w: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≤1.38992万元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1.35452万元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3.00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其他费用分项成本较预算金额节约0.0354万元</w:t>
            </w:r>
          </w:p>
        </w:tc>
      </w:tr>
      <w:tr>
        <w:tblPrEx>
          <w:tblCellMar>
            <w:top w:w="0" w:type="dxa"/>
            <w:left w:w="108" w:type="dxa"/>
            <w:bottom w:w="0" w:type="dxa"/>
            <w:right w:w="108" w:type="dxa"/>
          </w:tblCellMar>
        </w:tblPrEx>
        <w:trPr>
          <w:trHeight w:val="74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材料、资料购置费分项成本控制数</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≤2.427871万元</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2.255504万元</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8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4.00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材料、资料购置费较预算金额节约0.172367万元</w:t>
            </w:r>
          </w:p>
        </w:tc>
      </w:tr>
      <w:tr>
        <w:tblPrEx>
          <w:tblCellMar>
            <w:top w:w="0" w:type="dxa"/>
            <w:left w:w="108" w:type="dxa"/>
            <w:bottom w:w="0" w:type="dxa"/>
            <w:right w:w="108" w:type="dxa"/>
          </w:tblCellMar>
        </w:tblPrEx>
        <w:trPr>
          <w:trHeight w:val="17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restart"/>
            <w:tcBorders>
              <w:top w:val="nil"/>
              <w:left w:val="single" w:color="000000" w:sz="4" w:space="0"/>
              <w:bottom w:val="nil"/>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研究成果采纳率</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≥85%</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有待观察</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偏差原因分析：课题完成尚不足一年，成果采纳情况有待后续观察。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200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vMerge w:val="continue"/>
            <w:tcBorders>
              <w:top w:val="nil"/>
              <w:left w:val="single" w:color="000000" w:sz="4" w:space="0"/>
              <w:bottom w:val="nil"/>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可持续影响指标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通过项目实施为文物展示利用提供科研支撑，进一步提高本馆藏品保护管理水平。</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好</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通过项目实施，为文物展示提供了科研支撑，进一步提高了本馆藏品保护管理水平</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12.00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偏差原因分析：藏品管理水平得到有效提升，但课题完成尚不足一年，对文物展示利用的支撑作用尚待后续观察。</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改进措施：今后将加强相关绩效支撑材料收集、整理及归档工作</w:t>
            </w:r>
          </w:p>
        </w:tc>
      </w:tr>
      <w:tr>
        <w:tblPrEx>
          <w:tblCellMar>
            <w:top w:w="0" w:type="dxa"/>
            <w:left w:w="108" w:type="dxa"/>
            <w:bottom w:w="0" w:type="dxa"/>
            <w:right w:w="108" w:type="dxa"/>
          </w:tblCellMar>
        </w:tblPrEx>
        <w:trPr>
          <w:trHeight w:val="1760" w:hRule="atLeast"/>
        </w:trPr>
        <w:tc>
          <w:tcPr>
            <w:tcW w:w="93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3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2004"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课题管理主体满意度</w:t>
            </w:r>
          </w:p>
        </w:tc>
        <w:tc>
          <w:tcPr>
            <w:tcW w:w="25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≥90%</w:t>
            </w:r>
          </w:p>
        </w:tc>
        <w:tc>
          <w:tcPr>
            <w:tcW w:w="212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c>
          <w:tcPr>
            <w:tcW w:w="93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9.00 </w:t>
            </w:r>
          </w:p>
        </w:tc>
        <w:tc>
          <w:tcPr>
            <w:tcW w:w="2832" w:type="dxa"/>
            <w:tcBorders>
              <w:top w:val="single" w:color="000000" w:sz="4" w:space="0"/>
              <w:left w:val="single" w:color="000000" w:sz="4" w:space="0"/>
              <w:bottom w:val="single" w:color="000000" w:sz="4" w:space="0"/>
              <w:right w:val="single" w:color="auto"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偏差原因分析：调查样本量偏低，相应支撑材料不够充分</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改进措施：今后将加强满意度调查工作</w:t>
            </w:r>
          </w:p>
        </w:tc>
      </w:tr>
      <w:tr>
        <w:tblPrEx>
          <w:tblCellMar>
            <w:top w:w="0" w:type="dxa"/>
            <w:left w:w="108" w:type="dxa"/>
            <w:bottom w:w="0" w:type="dxa"/>
            <w:right w:w="108" w:type="dxa"/>
          </w:tblCellMar>
        </w:tblPrEx>
        <w:trPr>
          <w:trHeight w:val="540" w:hRule="atLeast"/>
        </w:trPr>
        <w:tc>
          <w:tcPr>
            <w:tcW w:w="10190" w:type="dxa"/>
            <w:gridSpan w:val="7"/>
            <w:tcBorders>
              <w:top w:val="single" w:color="000000"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总分：</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100.00 </w:t>
            </w:r>
          </w:p>
        </w:tc>
        <w:tc>
          <w:tcPr>
            <w:tcW w:w="0" w:type="auto"/>
            <w:tcBorders>
              <w:top w:val="single" w:color="000000" w:sz="4" w:space="0"/>
              <w:left w:val="single" w:color="000000" w:sz="4" w:space="0"/>
              <w:bottom w:val="single" w:color="auto" w:sz="4" w:space="0"/>
              <w:right w:val="single" w:color="000000" w:sz="4" w:space="0"/>
            </w:tcBorders>
            <w:noWrap/>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90.46 </w:t>
            </w:r>
          </w:p>
        </w:tc>
        <w:tc>
          <w:tcPr>
            <w:tcW w:w="0" w:type="auto"/>
            <w:tcBorders>
              <w:top w:val="single" w:color="000000" w:sz="4" w:space="0"/>
              <w:left w:val="single" w:color="000000" w:sz="4" w:space="0"/>
              <w:bottom w:val="single" w:color="auto" w:sz="4" w:space="0"/>
              <w:right w:val="single" w:color="auto" w:sz="4" w:space="0"/>
            </w:tcBorders>
            <w:noWrap/>
            <w:vAlign w:val="center"/>
          </w:tcPr>
          <w:p>
            <w:pPr>
              <w:rPr>
                <w:rFonts w:ascii="宋体" w:hAnsi="宋体" w:cs="宋体"/>
                <w:color w:val="000000"/>
                <w:sz w:val="20"/>
                <w:szCs w:val="20"/>
              </w:rPr>
            </w:pPr>
          </w:p>
        </w:tc>
      </w:tr>
    </w:tbl>
    <w:p>
      <w:pPr>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w:t>
      </w:r>
    </w:p>
    <w:p>
      <w:pPr>
        <w:spacing w:line="480" w:lineRule="exact"/>
        <w:ind w:firstLine="560"/>
        <w:rPr>
          <w:rFonts w:ascii="黑体" w:eastAsia="黑体"/>
          <w:sz w:val="28"/>
          <w:szCs w:val="28"/>
        </w:rPr>
      </w:pPr>
      <w:r>
        <w:rPr>
          <w:rFonts w:hint="eastAsia" w:ascii="仿宋_GB2312" w:eastAsia="仿宋_GB2312"/>
          <w:sz w:val="28"/>
          <w:szCs w:val="28"/>
        </w:rPr>
        <w:t>无。</w:t>
      </w: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55F846"/>
    <w:multiLevelType w:val="singleLevel"/>
    <w:tmpl w:val="D755F84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2EBF"/>
    <w:rsid w:val="00135B6A"/>
    <w:rsid w:val="001369A7"/>
    <w:rsid w:val="001428C5"/>
    <w:rsid w:val="001503D8"/>
    <w:rsid w:val="00157540"/>
    <w:rsid w:val="0017111F"/>
    <w:rsid w:val="00173CF6"/>
    <w:rsid w:val="00180DAD"/>
    <w:rsid w:val="0018370E"/>
    <w:rsid w:val="001852E1"/>
    <w:rsid w:val="00191568"/>
    <w:rsid w:val="00191986"/>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58DF"/>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3C6B"/>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1CB0"/>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6AE"/>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064A"/>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97131"/>
    <w:rsid w:val="079004AC"/>
    <w:rsid w:val="0BA148CA"/>
    <w:rsid w:val="0DD136FE"/>
    <w:rsid w:val="0F8E2C57"/>
    <w:rsid w:val="0FC85385"/>
    <w:rsid w:val="1059665E"/>
    <w:rsid w:val="10AC13BA"/>
    <w:rsid w:val="10E417AF"/>
    <w:rsid w:val="17CD1755"/>
    <w:rsid w:val="19795BC9"/>
    <w:rsid w:val="1AEC0734"/>
    <w:rsid w:val="1DEF20B0"/>
    <w:rsid w:val="20F52575"/>
    <w:rsid w:val="214243FA"/>
    <w:rsid w:val="21AD613C"/>
    <w:rsid w:val="257A14F5"/>
    <w:rsid w:val="27196C26"/>
    <w:rsid w:val="29EF086F"/>
    <w:rsid w:val="2EFFE297"/>
    <w:rsid w:val="301437CA"/>
    <w:rsid w:val="349D1F0A"/>
    <w:rsid w:val="34DD0473"/>
    <w:rsid w:val="395249B4"/>
    <w:rsid w:val="433E495C"/>
    <w:rsid w:val="4452162C"/>
    <w:rsid w:val="4AC27CB3"/>
    <w:rsid w:val="4BF72BEF"/>
    <w:rsid w:val="4C731ED2"/>
    <w:rsid w:val="51DB3C59"/>
    <w:rsid w:val="53CD07EE"/>
    <w:rsid w:val="5484251B"/>
    <w:rsid w:val="550C0952"/>
    <w:rsid w:val="55762E42"/>
    <w:rsid w:val="56274E97"/>
    <w:rsid w:val="57A7B272"/>
    <w:rsid w:val="58470068"/>
    <w:rsid w:val="5A1720F9"/>
    <w:rsid w:val="5A7F6472"/>
    <w:rsid w:val="5B9C37C2"/>
    <w:rsid w:val="5BA7C654"/>
    <w:rsid w:val="5FA443C6"/>
    <w:rsid w:val="64C0607C"/>
    <w:rsid w:val="676F09E1"/>
    <w:rsid w:val="795F51C3"/>
    <w:rsid w:val="7A7F1C49"/>
    <w:rsid w:val="7A85597C"/>
    <w:rsid w:val="7B5B7AE6"/>
    <w:rsid w:val="7BA7071E"/>
    <w:rsid w:val="7BDF6DA8"/>
    <w:rsid w:val="7C7EDC1A"/>
    <w:rsid w:val="7CCED98D"/>
    <w:rsid w:val="7D08410F"/>
    <w:rsid w:val="7DB96DED"/>
    <w:rsid w:val="7DD3AD81"/>
    <w:rsid w:val="7DF913D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Workbook2.xls"/><Relationship Id="rId8" Type="http://schemas.openxmlformats.org/officeDocument/2006/relationships/image" Target="media/image1.emf"/><Relationship Id="rId7" Type="http://schemas.openxmlformats.org/officeDocument/2006/relationships/oleObject" Target="embeddings/Workbook1.xls"/><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3211</Words>
  <Characters>18306</Characters>
  <Lines>152</Lines>
  <Paragraphs>42</Paragraphs>
  <TotalTime>53</TotalTime>
  <ScaleCrop>false</ScaleCrop>
  <LinksUpToDate>false</LinksUpToDate>
  <CharactersWithSpaces>21475</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2025-05-30T08:37:03Z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96917AD755494AEC8C843FA42778AA9E</vt:lpwstr>
  </property>
</Properties>
</file>