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pPr>
    </w:p>
    <w:p>
      <w:pPr>
        <w:spacing w:line="560" w:lineRule="exact"/>
        <w:jc w:val="center"/>
        <w:rPr>
          <w:rFonts w:ascii="方正小标宋简体" w:eastAsia="方正小标宋简体"/>
          <w:color w:val="000000"/>
          <w:sz w:val="44"/>
          <w:szCs w:val="44"/>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北京市</w:t>
      </w:r>
      <w:r>
        <w:rPr>
          <w:rFonts w:hint="eastAsia" w:ascii="方正小标宋简体" w:eastAsia="方正小标宋简体"/>
          <w:color w:val="000000"/>
          <w:sz w:val="44"/>
          <w:szCs w:val="44"/>
          <w:lang w:eastAsia="zh-CN"/>
        </w:rPr>
        <w:t>综合事务中心</w:t>
      </w:r>
      <w:r>
        <w:rPr>
          <w:rFonts w:hint="eastAsia" w:ascii="方正小标宋简体" w:eastAsia="方正小标宋简体"/>
          <w:color w:val="000000"/>
          <w:sz w:val="44"/>
          <w:szCs w:val="44"/>
        </w:rPr>
        <w:t>2024年度</w:t>
      </w: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rPr>
          <w:rFonts w:ascii="方正小标宋简体" w:hAnsi="Times New Roman" w:eastAsia="方正小标宋简体" w:cs="Droid Sans"/>
          <w:b w:val="0"/>
          <w:bCs w:val="0"/>
          <w:color w:val="000000"/>
          <w:kern w:val="2"/>
          <w:szCs w:val="36"/>
        </w:rPr>
      </w:pPr>
    </w:p>
    <w:p/>
    <w:p>
      <w:pPr>
        <w:pStyle w:val="2"/>
      </w:pPr>
    </w:p>
    <w:p/>
    <w:p>
      <w:pPr>
        <w:pStyle w:val="2"/>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ind w:firstLine="800" w:firstLineChars="250"/>
        <w:rPr>
          <w:rFonts w:hint="eastAsia" w:ascii="仿宋_GB2312" w:hAnsi="仿宋" w:eastAsia="仿宋_GB2312"/>
          <w:sz w:val="32"/>
          <w:szCs w:val="32"/>
        </w:rPr>
      </w:pPr>
      <w:r>
        <w:rPr>
          <w:rFonts w:hint="eastAsia" w:ascii="仿宋_GB2312" w:hAnsi="仿宋" w:eastAsia="仿宋_GB2312"/>
          <w:sz w:val="32"/>
          <w:szCs w:val="32"/>
        </w:rPr>
        <w:t>北京市文物局综合事务中心是北京市文物局下属单位，单位性质为财政全额拨款事业单位，独立法人机构。主要职能为承担北京市</w:t>
      </w:r>
      <w:r>
        <w:rPr>
          <w:rFonts w:ascii="仿宋_GB2312" w:hAnsi="仿宋" w:eastAsia="仿宋_GB2312"/>
          <w:sz w:val="32"/>
          <w:szCs w:val="32"/>
        </w:rPr>
        <w:t>文物局机关事务综合服务保障、系统离退休人员管理服务等事务性工作。</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ind w:firstLine="800" w:firstLineChars="250"/>
        <w:rPr>
          <w:rFonts w:ascii="仿宋_GB2312" w:hAnsi="仿宋" w:eastAsia="仿宋_GB2312"/>
          <w:sz w:val="32"/>
          <w:szCs w:val="32"/>
        </w:rPr>
      </w:pPr>
      <w:r>
        <w:rPr>
          <w:rFonts w:hint="eastAsia" w:ascii="仿宋_GB2312" w:hAnsi="仿宋" w:eastAsia="仿宋_GB2312"/>
          <w:sz w:val="32"/>
          <w:szCs w:val="32"/>
        </w:rPr>
        <w:t>北京市文物局</w:t>
      </w:r>
      <w:r>
        <w:rPr>
          <w:rFonts w:ascii="仿宋_GB2312" w:hAnsi="仿宋" w:eastAsia="仿宋_GB2312"/>
          <w:sz w:val="32"/>
          <w:szCs w:val="32"/>
        </w:rPr>
        <w:t>综合事务</w:t>
      </w:r>
      <w:r>
        <w:rPr>
          <w:rFonts w:hint="eastAsia" w:ascii="仿宋_GB2312" w:hAnsi="仿宋" w:eastAsia="仿宋_GB2312"/>
          <w:sz w:val="32"/>
          <w:szCs w:val="32"/>
        </w:rPr>
        <w:t>中心下设办公室（保卫部）、党建部、财务部</w:t>
      </w:r>
      <w:r>
        <w:rPr>
          <w:rFonts w:ascii="仿宋_GB2312" w:hAnsi="仿宋" w:eastAsia="仿宋_GB2312"/>
          <w:sz w:val="32"/>
          <w:szCs w:val="32"/>
        </w:rPr>
        <w:t>、信息技术部、宣教部</w:t>
      </w:r>
      <w:r>
        <w:rPr>
          <w:rFonts w:hint="eastAsia" w:ascii="仿宋_GB2312" w:hAnsi="仿宋" w:eastAsia="仿宋_GB2312"/>
          <w:sz w:val="32"/>
          <w:szCs w:val="32"/>
        </w:rPr>
        <w:t>、</w:t>
      </w:r>
      <w:r>
        <w:rPr>
          <w:rFonts w:ascii="仿宋_GB2312" w:hAnsi="仿宋" w:eastAsia="仿宋_GB2312"/>
          <w:sz w:val="32"/>
          <w:szCs w:val="32"/>
        </w:rPr>
        <w:t>典藏部</w:t>
      </w:r>
      <w:r>
        <w:rPr>
          <w:rFonts w:hint="eastAsia" w:ascii="仿宋_GB2312" w:hAnsi="仿宋" w:eastAsia="仿宋_GB2312"/>
          <w:sz w:val="32"/>
          <w:szCs w:val="32"/>
        </w:rPr>
        <w:t>六个部门。</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ind w:firstLine="555"/>
        <w:rPr>
          <w:rFonts w:hint="eastAsia" w:ascii="仿宋_GB2312" w:hAnsi="仿宋" w:eastAsia="仿宋_GB2312"/>
          <w:sz w:val="32"/>
          <w:szCs w:val="32"/>
          <w:lang w:eastAsia="zh-CN"/>
        </w:rPr>
      </w:pPr>
      <w:r>
        <w:rPr>
          <w:rFonts w:hint="eastAsia" w:ascii="仿宋_GB2312" w:hAnsi="仿宋" w:eastAsia="仿宋_GB2312"/>
          <w:sz w:val="32"/>
          <w:szCs w:val="32"/>
          <w:lang w:eastAsia="zh-CN"/>
        </w:rPr>
        <w:t>北京市文物局综合事务中心单位行政编制0人，实际0人；事业编制</w:t>
      </w:r>
      <w:r>
        <w:rPr>
          <w:rFonts w:hint="eastAsia" w:ascii="仿宋_GB2312" w:hAnsi="仿宋" w:eastAsia="仿宋_GB2312"/>
          <w:sz w:val="32"/>
          <w:szCs w:val="32"/>
          <w:lang w:val="en-US" w:eastAsia="zh-CN"/>
        </w:rPr>
        <w:t>48</w:t>
      </w:r>
      <w:r>
        <w:rPr>
          <w:rFonts w:hint="eastAsia" w:ascii="仿宋_GB2312" w:hAnsi="仿宋" w:eastAsia="仿宋_GB2312"/>
          <w:sz w:val="32"/>
          <w:szCs w:val="32"/>
          <w:lang w:eastAsia="zh-CN"/>
        </w:rPr>
        <w:t>人，实际43人；聘用人员5人。离退休人员27人，其中：离休0人，退休27人。</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2024</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12149.53</w:t>
      </w:r>
      <w:r>
        <w:rPr>
          <w:rFonts w:hint="eastAsia" w:ascii="仿宋_GB2312" w:hAnsi="仿宋" w:eastAsia="仿宋_GB2312"/>
          <w:sz w:val="32"/>
          <w:szCs w:val="32"/>
        </w:rPr>
        <w:t>万元，比</w:t>
      </w:r>
      <w:r>
        <w:rPr>
          <w:rFonts w:hint="eastAsia" w:ascii="仿宋_GB2312" w:hAnsi="仿宋" w:eastAsia="仿宋_GB2312"/>
          <w:sz w:val="32"/>
          <w:szCs w:val="32"/>
          <w:lang w:eastAsia="zh-CN"/>
        </w:rPr>
        <w:t>2023</w:t>
      </w:r>
      <w:r>
        <w:rPr>
          <w:rFonts w:hint="eastAsia" w:ascii="仿宋_GB2312" w:hAnsi="仿宋" w:eastAsia="仿宋_GB2312"/>
          <w:sz w:val="32"/>
          <w:szCs w:val="32"/>
        </w:rPr>
        <w:t>年</w:t>
      </w:r>
      <w:r>
        <w:rPr>
          <w:rFonts w:hint="eastAsia" w:ascii="仿宋_GB2312" w:hAnsi="仿宋" w:eastAsia="仿宋_GB2312"/>
          <w:sz w:val="32"/>
          <w:szCs w:val="32"/>
          <w:lang w:val="en-US" w:eastAsia="zh-CN"/>
        </w:rPr>
        <w:t>4563.44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增加7586.09</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增长166.24</w:t>
      </w:r>
      <w:r>
        <w:rPr>
          <w:rFonts w:hint="eastAsia" w:ascii="仿宋_GB2312" w:hAnsi="仿宋" w:eastAsia="仿宋_GB2312"/>
          <w:sz w:val="32"/>
          <w:szCs w:val="32"/>
        </w:rPr>
        <w:t>%。</w:t>
      </w:r>
      <w:r>
        <w:rPr>
          <w:rFonts w:hint="eastAsia" w:ascii="仿宋_GB2312" w:hAnsi="仿宋" w:eastAsia="仿宋_GB2312"/>
          <w:sz w:val="32"/>
          <w:szCs w:val="32"/>
          <w:lang w:eastAsia="zh-CN"/>
        </w:rPr>
        <w:t>主要原因是：</w:t>
      </w:r>
      <w:r>
        <w:rPr>
          <w:rFonts w:hint="eastAsia" w:ascii="仿宋_GB2312" w:hAnsi="仿宋" w:eastAsia="仿宋_GB2312"/>
          <w:sz w:val="32"/>
          <w:szCs w:val="32"/>
          <w:lang w:val="en-US" w:eastAsia="zh-CN"/>
        </w:rPr>
        <w:t>路县故城遗址保护展示工程项目是北京2024年北京市政府督办的重点项目，为保证路县故城遗址</w:t>
      </w:r>
      <w:bookmarkStart w:id="0" w:name="_GoBack"/>
      <w:bookmarkEnd w:id="0"/>
      <w:r>
        <w:rPr>
          <w:rFonts w:hint="eastAsia" w:ascii="仿宋_GB2312" w:hAnsi="仿宋" w:eastAsia="仿宋_GB2312"/>
          <w:sz w:val="32"/>
          <w:szCs w:val="32"/>
          <w:lang w:val="en-US" w:eastAsia="zh-CN"/>
        </w:rPr>
        <w:t>博物馆在本年度顺利竣工开展，信息化智能化建设、展陈布展施工、博物馆配套设施购置、基本运营保障都是必须建设项目</w:t>
      </w:r>
      <w:r>
        <w:rPr>
          <w:rFonts w:hint="eastAsia" w:ascii="仿宋_GB2312" w:hAnsi="仿宋" w:eastAsia="仿宋_GB2312"/>
          <w:sz w:val="32"/>
          <w:szCs w:val="32"/>
          <w:lang w:eastAsia="zh-CN"/>
        </w:rPr>
        <w:t>。</w:t>
      </w:r>
      <w:r>
        <w:rPr>
          <w:rFonts w:hint="eastAsia" w:ascii="仿宋" w:hAnsi="仿宋" w:eastAsia="仿宋" w:cs="Times New Roman"/>
          <w:sz w:val="32"/>
          <w:szCs w:val="32"/>
        </w:rPr>
        <w:t>本年其他资金收入</w:t>
      </w:r>
      <w:r>
        <w:rPr>
          <w:rFonts w:hint="eastAsia" w:ascii="仿宋" w:hAnsi="仿宋" w:eastAsia="仿宋" w:cs="Times New Roman"/>
          <w:sz w:val="32"/>
          <w:szCs w:val="32"/>
          <w:lang w:val="en-US" w:eastAsia="zh-CN"/>
        </w:rPr>
        <w:t>2.02</w:t>
      </w:r>
      <w:r>
        <w:rPr>
          <w:rFonts w:hint="eastAsia" w:ascii="仿宋" w:hAnsi="仿宋" w:eastAsia="仿宋" w:cs="Times New Roman"/>
          <w:sz w:val="32"/>
          <w:szCs w:val="32"/>
        </w:rPr>
        <w:t>万元,比202</w:t>
      </w:r>
      <w:r>
        <w:rPr>
          <w:rFonts w:ascii="仿宋" w:hAnsi="仿宋" w:eastAsia="仿宋" w:cs="Times New Roman"/>
          <w:sz w:val="32"/>
          <w:szCs w:val="32"/>
        </w:rPr>
        <w:t>3</w:t>
      </w:r>
      <w:r>
        <w:rPr>
          <w:rFonts w:hint="eastAsia" w:ascii="仿宋" w:hAnsi="仿宋" w:eastAsia="仿宋" w:cs="Times New Roman"/>
          <w:sz w:val="32"/>
          <w:szCs w:val="32"/>
        </w:rPr>
        <w:t>年</w:t>
      </w:r>
      <w:r>
        <w:rPr>
          <w:rFonts w:ascii="仿宋" w:hAnsi="仿宋" w:eastAsia="仿宋" w:cs="Times New Roman"/>
          <w:sz w:val="32"/>
          <w:szCs w:val="32"/>
        </w:rPr>
        <w:t>0</w:t>
      </w:r>
      <w:r>
        <w:rPr>
          <w:rFonts w:hint="eastAsia" w:ascii="仿宋" w:hAnsi="仿宋" w:eastAsia="仿宋" w:cs="Times New Roman"/>
          <w:sz w:val="32"/>
          <w:szCs w:val="32"/>
        </w:rPr>
        <w:t>万元增加</w:t>
      </w:r>
      <w:r>
        <w:rPr>
          <w:rFonts w:hint="eastAsia" w:ascii="仿宋" w:hAnsi="仿宋" w:eastAsia="仿宋" w:cs="Times New Roman"/>
          <w:sz w:val="32"/>
          <w:szCs w:val="32"/>
          <w:lang w:val="en-US" w:eastAsia="zh-CN"/>
        </w:rPr>
        <w:t>2.02</w:t>
      </w:r>
      <w:r>
        <w:rPr>
          <w:rFonts w:hint="eastAsia" w:ascii="仿宋" w:hAnsi="仿宋" w:eastAsia="仿宋" w:cs="Times New Roman"/>
          <w:sz w:val="32"/>
          <w:szCs w:val="32"/>
        </w:rPr>
        <w:t>万元，主要原因为利息收入有所增加；上年结转结余资金</w:t>
      </w:r>
      <w:r>
        <w:rPr>
          <w:rFonts w:hint="eastAsia" w:ascii="仿宋" w:hAnsi="仿宋" w:eastAsia="仿宋" w:cs="Times New Roman"/>
          <w:sz w:val="32"/>
          <w:szCs w:val="32"/>
          <w:lang w:val="en-US" w:eastAsia="zh-CN"/>
        </w:rPr>
        <w:t>216.93</w:t>
      </w:r>
      <w:r>
        <w:rPr>
          <w:rFonts w:hint="eastAsia" w:ascii="仿宋" w:hAnsi="仿宋" w:eastAsia="仿宋" w:cs="Times New Roman"/>
          <w:sz w:val="32"/>
          <w:szCs w:val="32"/>
        </w:rPr>
        <w:t>万元,比</w:t>
      </w:r>
      <w:r>
        <w:rPr>
          <w:rFonts w:ascii="仿宋" w:hAnsi="仿宋" w:eastAsia="仿宋" w:cs="Times New Roman"/>
          <w:sz w:val="32"/>
          <w:szCs w:val="32"/>
        </w:rPr>
        <w:t>2023</w:t>
      </w:r>
      <w:r>
        <w:rPr>
          <w:rFonts w:hint="eastAsia" w:ascii="仿宋" w:hAnsi="仿宋" w:eastAsia="仿宋" w:cs="Times New Roman"/>
          <w:sz w:val="32"/>
          <w:szCs w:val="32"/>
        </w:rPr>
        <w:t>年</w:t>
      </w:r>
      <w:r>
        <w:rPr>
          <w:rFonts w:hint="eastAsia" w:ascii="仿宋_GB2312" w:hAnsi="仿宋_GB2312" w:eastAsia="仿宋_GB2312" w:cs="仿宋_GB2312"/>
          <w:color w:val="000000"/>
          <w:sz w:val="32"/>
          <w:szCs w:val="32"/>
          <w:lang w:val="en-US" w:eastAsia="zh-CN"/>
        </w:rPr>
        <w:t>0</w:t>
      </w:r>
      <w:r>
        <w:rPr>
          <w:rFonts w:hint="eastAsia" w:ascii="仿宋" w:hAnsi="仿宋" w:eastAsia="仿宋" w:cs="Times New Roman"/>
          <w:sz w:val="32"/>
          <w:szCs w:val="32"/>
        </w:rPr>
        <w:t>万元</w:t>
      </w:r>
      <w:r>
        <w:rPr>
          <w:rFonts w:hint="eastAsia" w:ascii="仿宋" w:hAnsi="仿宋" w:eastAsia="仿宋" w:cs="Times New Roman"/>
          <w:sz w:val="32"/>
          <w:szCs w:val="32"/>
          <w:lang w:eastAsia="zh-CN"/>
        </w:rPr>
        <w:t>增加</w:t>
      </w:r>
      <w:r>
        <w:rPr>
          <w:rFonts w:hint="eastAsia" w:ascii="仿宋" w:hAnsi="仿宋" w:eastAsia="仿宋" w:cs="Times New Roman"/>
          <w:sz w:val="32"/>
          <w:szCs w:val="32"/>
          <w:lang w:val="en-US" w:eastAsia="zh-CN"/>
        </w:rPr>
        <w:t>216.93</w:t>
      </w:r>
      <w:r>
        <w:rPr>
          <w:rFonts w:hint="eastAsia" w:ascii="仿宋" w:hAnsi="仿宋" w:eastAsia="仿宋" w:cs="Times New Roman"/>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w:t>
      </w:r>
      <w:r>
        <w:rPr>
          <w:rFonts w:hint="eastAsia" w:ascii="仿宋_GB2312" w:hAnsi="仿宋" w:eastAsia="仿宋_GB2312"/>
          <w:sz w:val="32"/>
          <w:szCs w:val="32"/>
          <w:lang w:val="en-US" w:eastAsia="zh-CN"/>
        </w:rPr>
        <w:t>11930.58</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w:t>
      </w:r>
      <w:r>
        <w:rPr>
          <w:rFonts w:hint="eastAsia" w:ascii="仿宋_GB2312" w:hAnsi="仿宋" w:eastAsia="仿宋_GB2312"/>
          <w:sz w:val="32"/>
          <w:szCs w:val="32"/>
          <w:lang w:val="en-US" w:eastAsia="zh-CN"/>
        </w:rPr>
        <w:t>11930.58</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3.国有资本经营预算拨款收入0.00万元。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w:t>
      </w:r>
      <w:r>
        <w:rPr>
          <w:rFonts w:hint="eastAsia" w:ascii="楷体_GB2312" w:eastAsia="楷体_GB2312"/>
          <w:sz w:val="32"/>
          <w:szCs w:val="32"/>
          <w:lang w:val="en-US" w:eastAsia="zh-CN"/>
        </w:rPr>
        <w:t>2.02</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w:t>
      </w:r>
      <w:r>
        <w:rPr>
          <w:rFonts w:hint="eastAsia" w:ascii="仿宋_GB2312" w:eastAsia="仿宋_GB2312"/>
          <w:sz w:val="32"/>
          <w:szCs w:val="32"/>
          <w:lang w:val="en-US" w:eastAsia="zh-CN"/>
        </w:rPr>
        <w:t>2.02</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w:t>
      </w:r>
      <w:r>
        <w:rPr>
          <w:rFonts w:hint="eastAsia" w:ascii="楷体_GB2312" w:eastAsia="楷体_GB2312"/>
          <w:sz w:val="32"/>
          <w:szCs w:val="32"/>
          <w:lang w:val="en-US" w:eastAsia="zh-CN"/>
        </w:rPr>
        <w:t>216.93</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w:t>
      </w:r>
      <w:r>
        <w:rPr>
          <w:rFonts w:hint="eastAsia" w:ascii="仿宋_GB2312" w:eastAsia="仿宋_GB2312"/>
          <w:sz w:val="32"/>
          <w:szCs w:val="32"/>
          <w:lang w:val="en-US" w:eastAsia="zh-CN"/>
        </w:rPr>
        <w:t>216.93</w:t>
      </w:r>
      <w:r>
        <w:rPr>
          <w:rFonts w:hint="eastAsia" w:ascii="仿宋_GB2312" w:eastAsia="仿宋_GB2312"/>
          <w:sz w:val="32"/>
          <w:szCs w:val="32"/>
        </w:rPr>
        <w:t>万元。</w:t>
      </w:r>
    </w:p>
    <w:p>
      <w:pPr>
        <w:pStyle w:val="2"/>
        <w:jc w:val="center"/>
      </w:pPr>
      <w:r>
        <w:drawing>
          <wp:inline distT="0" distB="0" distL="114300" distR="114300">
            <wp:extent cx="5407660" cy="2707005"/>
            <wp:effectExtent l="4445" t="4445" r="17145" b="1270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pStyle w:val="2"/>
        <w:jc w:val="center"/>
        <w:rPr>
          <w:rFonts w:hint="eastAsia" w:ascii="仿宋_GB2312" w:eastAsia="仿宋_GB2312"/>
          <w:sz w:val="32"/>
        </w:rPr>
      </w:pPr>
      <w:r>
        <w:rPr>
          <w:rFonts w:hint="eastAsia" w:ascii="仿宋_GB2312" w:eastAsia="仿宋_GB2312"/>
          <w:sz w:val="32"/>
        </w:rPr>
        <w:t>图1：收入预算</w:t>
      </w:r>
    </w:p>
    <w:p/>
    <w:p>
      <w:pPr>
        <w:spacing w:line="560" w:lineRule="exact"/>
        <w:ind w:firstLine="640" w:firstLineChars="200"/>
        <w:rPr>
          <w:rFonts w:ascii="仿宋_GB2312" w:eastAsia="仿宋_GB2312"/>
          <w:color w:val="000000"/>
          <w:sz w:val="32"/>
          <w:szCs w:val="32"/>
        </w:rPr>
      </w:pPr>
      <w:r>
        <w:rPr>
          <w:rFonts w:hint="eastAsia" w:ascii="黑体" w:eastAsia="黑体"/>
          <w:sz w:val="32"/>
          <w:szCs w:val="32"/>
        </w:rPr>
        <w:t>三、支出预算情况说明</w:t>
      </w:r>
    </w:p>
    <w:p>
      <w:pPr>
        <w:ind w:firstLine="800" w:firstLineChars="250"/>
        <w:rPr>
          <w:rFonts w:ascii="仿宋_GB2312" w:eastAsia="仿宋_GB2312"/>
          <w:sz w:val="32"/>
          <w:szCs w:val="32"/>
        </w:rPr>
      </w:pPr>
      <w:r>
        <w:rPr>
          <w:rFonts w:hint="eastAsia" w:ascii="仿宋_GB2312" w:eastAsia="仿宋_GB2312"/>
          <w:sz w:val="32"/>
          <w:szCs w:val="32"/>
        </w:rPr>
        <w:t>2024年支出预算</w:t>
      </w:r>
      <w:r>
        <w:rPr>
          <w:rFonts w:hint="eastAsia" w:ascii="仿宋_GB2312" w:hAnsi="仿宋" w:eastAsia="仿宋_GB2312"/>
          <w:sz w:val="32"/>
          <w:szCs w:val="32"/>
          <w:lang w:val="en-US" w:eastAsia="zh-CN"/>
        </w:rPr>
        <w:t>12149.53</w:t>
      </w:r>
      <w:r>
        <w:rPr>
          <w:rFonts w:hint="eastAsia" w:ascii="仿宋_GB2312" w:eastAsia="仿宋_GB2312"/>
          <w:sz w:val="32"/>
          <w:szCs w:val="32"/>
        </w:rPr>
        <w:t>万元，比2023年年初预算数</w:t>
      </w:r>
      <w:r>
        <w:rPr>
          <w:rFonts w:hint="eastAsia" w:ascii="仿宋_GB2312" w:eastAsia="仿宋_GB2312"/>
          <w:sz w:val="32"/>
          <w:szCs w:val="32"/>
          <w:lang w:val="en-US" w:eastAsia="zh-CN"/>
        </w:rPr>
        <w:t>3716.29</w:t>
      </w:r>
      <w:r>
        <w:rPr>
          <w:rFonts w:hint="eastAsia" w:ascii="仿宋_GB2312" w:eastAsia="仿宋_GB2312"/>
          <w:sz w:val="32"/>
          <w:szCs w:val="32"/>
        </w:rPr>
        <w:t>万元增加</w:t>
      </w:r>
      <w:r>
        <w:rPr>
          <w:rFonts w:hint="eastAsia" w:ascii="仿宋_GB2312" w:eastAsia="仿宋_GB2312"/>
          <w:sz w:val="32"/>
          <w:szCs w:val="32"/>
          <w:lang w:val="en-US" w:eastAsia="zh-CN"/>
        </w:rPr>
        <w:t>8435.45</w:t>
      </w:r>
      <w:r>
        <w:rPr>
          <w:rFonts w:hint="eastAsia" w:ascii="仿宋_GB2312" w:eastAsia="仿宋_GB2312"/>
          <w:sz w:val="32"/>
          <w:szCs w:val="32"/>
        </w:rPr>
        <w:t>万元，增长</w:t>
      </w:r>
      <w:r>
        <w:rPr>
          <w:rFonts w:hint="eastAsia" w:ascii="仿宋_GB2312" w:eastAsia="仿宋_GB2312"/>
          <w:sz w:val="32"/>
          <w:szCs w:val="32"/>
          <w:lang w:val="en-US" w:eastAsia="zh-CN"/>
        </w:rPr>
        <w:t>226.93</w:t>
      </w:r>
      <w:r>
        <w:rPr>
          <w:rFonts w:hint="eastAsia" w:ascii="仿宋_GB2312" w:eastAsia="仿宋_GB2312"/>
          <w:sz w:val="32"/>
          <w:szCs w:val="32"/>
        </w:rPr>
        <w:t>%。主要原因是：</w:t>
      </w:r>
      <w:r>
        <w:rPr>
          <w:rFonts w:hint="eastAsia" w:ascii="仿宋_GB2312" w:hAnsi="仿宋" w:eastAsia="仿宋_GB2312"/>
          <w:sz w:val="32"/>
          <w:szCs w:val="32"/>
          <w:lang w:val="en-US" w:eastAsia="zh-CN"/>
        </w:rPr>
        <w:t>路县故城遗址保护展示工程项目是北京2024年北京市政府督办的重点项目，为保证博物馆在本年度顺利竣工开展，信息化智能化建设、展陈布展施工、博物馆配套设施购置、基本运营保障都是必须建设项目。</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hint="eastAsia" w:ascii="仿宋_GB2312" w:eastAsia="仿宋_GB2312"/>
          <w:sz w:val="32"/>
          <w:szCs w:val="32"/>
          <w:lang w:val="en-US" w:eastAsia="zh-CN"/>
        </w:rPr>
        <w:t>1723.56</w:t>
      </w:r>
      <w:r>
        <w:rPr>
          <w:rFonts w:hint="eastAsia" w:ascii="仿宋_GB2312" w:eastAsia="仿宋_GB2312"/>
          <w:sz w:val="32"/>
          <w:szCs w:val="32"/>
        </w:rPr>
        <w:t>万元，占总支出预算</w:t>
      </w:r>
      <w:r>
        <w:rPr>
          <w:rFonts w:hint="eastAsia" w:ascii="仿宋_GB2312" w:eastAsia="仿宋_GB2312"/>
          <w:sz w:val="32"/>
          <w:szCs w:val="32"/>
          <w:lang w:val="en-US" w:eastAsia="zh-CN"/>
        </w:rPr>
        <w:t>14.19%</w:t>
      </w:r>
      <w:r>
        <w:rPr>
          <w:rFonts w:hint="eastAsia" w:ascii="仿宋_GB2312" w:eastAsia="仿宋_GB2312"/>
          <w:sz w:val="32"/>
          <w:szCs w:val="32"/>
        </w:rPr>
        <w:t>，比2023年年初预算数</w:t>
      </w:r>
      <w:r>
        <w:rPr>
          <w:rFonts w:hint="eastAsia" w:ascii="仿宋_GB2312" w:eastAsia="仿宋_GB2312"/>
          <w:sz w:val="32"/>
          <w:szCs w:val="32"/>
          <w:lang w:val="en-US" w:eastAsia="zh-CN"/>
        </w:rPr>
        <w:t>1992.44</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268.88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13.50</w:t>
      </w:r>
      <w:r>
        <w:rPr>
          <w:rFonts w:hint="eastAsia" w:ascii="仿宋_GB2312" w:eastAsia="仿宋_GB2312"/>
          <w:sz w:val="32"/>
          <w:szCs w:val="32"/>
        </w:rPr>
        <w:t>%。</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hint="eastAsia" w:ascii="仿宋_GB2312" w:eastAsia="仿宋_GB2312"/>
          <w:sz w:val="32"/>
          <w:szCs w:val="32"/>
          <w:lang w:val="en-US" w:eastAsia="zh-CN"/>
        </w:rPr>
        <w:t>10425.96</w:t>
      </w:r>
      <w:r>
        <w:rPr>
          <w:rFonts w:hint="eastAsia" w:ascii="仿宋_GB2312" w:eastAsia="仿宋_GB2312"/>
          <w:sz w:val="32"/>
          <w:szCs w:val="32"/>
        </w:rPr>
        <w:t>万元，比2023年年初预算数</w:t>
      </w:r>
      <w:r>
        <w:rPr>
          <w:rFonts w:hint="eastAsia" w:ascii="仿宋_GB2312" w:eastAsia="仿宋_GB2312"/>
          <w:sz w:val="32"/>
          <w:szCs w:val="32"/>
          <w:lang w:val="en-US" w:eastAsia="zh-CN"/>
        </w:rPr>
        <w:t>1723.85</w:t>
      </w:r>
      <w:r>
        <w:rPr>
          <w:rFonts w:hint="eastAsia" w:ascii="仿宋_GB2312" w:eastAsia="仿宋_GB2312"/>
          <w:sz w:val="32"/>
          <w:szCs w:val="32"/>
        </w:rPr>
        <w:t>万元增加</w:t>
      </w:r>
      <w:r>
        <w:rPr>
          <w:rFonts w:hint="eastAsia" w:ascii="仿宋_GB2312" w:eastAsia="仿宋_GB2312"/>
          <w:sz w:val="32"/>
          <w:szCs w:val="32"/>
          <w:lang w:val="en-US" w:eastAsia="zh-CN"/>
        </w:rPr>
        <w:t>8702.11</w:t>
      </w:r>
      <w:r>
        <w:rPr>
          <w:rFonts w:hint="eastAsia" w:ascii="仿宋_GB2312" w:eastAsia="仿宋_GB2312"/>
          <w:sz w:val="32"/>
          <w:szCs w:val="32"/>
        </w:rPr>
        <w:t>万元，增长</w:t>
      </w:r>
      <w:r>
        <w:rPr>
          <w:rFonts w:hint="eastAsia" w:ascii="仿宋_GB2312" w:eastAsia="仿宋_GB2312"/>
          <w:sz w:val="32"/>
          <w:szCs w:val="32"/>
          <w:lang w:val="en-US" w:eastAsia="zh-CN"/>
        </w:rPr>
        <w:t>504.81</w:t>
      </w:r>
      <w:r>
        <w:rPr>
          <w:rFonts w:hint="eastAsia" w:ascii="仿宋_GB2312" w:eastAsia="仿宋_GB2312"/>
          <w:sz w:val="32"/>
          <w:szCs w:val="32"/>
        </w:rPr>
        <w:t>%。其中：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1.事业单位经营支出0.00万元。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2.上缴上级支出0.00万元。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3.对附属单位补助支出0.00万元。</w:t>
      </w:r>
    </w:p>
    <w:p>
      <w:pPr>
        <w:pStyle w:val="2"/>
        <w:ind w:firstLine="642"/>
        <w:jc w:val="center"/>
      </w:pPr>
      <w:r>
        <w:drawing>
          <wp:inline distT="0" distB="0" distL="114300" distR="114300">
            <wp:extent cx="4647565" cy="2762885"/>
            <wp:effectExtent l="4445" t="4445" r="15240" b="1397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ind w:firstLine="642"/>
        <w:jc w:val="center"/>
      </w:pPr>
      <w:r>
        <w:rPr>
          <w:rFonts w:hint="eastAsia" w:ascii="仿宋_GB2312" w:eastAsia="仿宋_GB2312"/>
          <w:sz w:val="32"/>
        </w:rPr>
        <w:t>图2：基本支出和项目支出情况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年终结转结余资金0.00万元</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w:t>
      </w:r>
      <w:r>
        <w:rPr>
          <w:rFonts w:hint="eastAsia" w:ascii="仿宋_GB2312" w:eastAsia="仿宋_GB2312"/>
          <w:sz w:val="32"/>
          <w:szCs w:val="32"/>
          <w:lang w:eastAsia="zh-CN"/>
        </w:rPr>
        <w:t>综合事务中心</w:t>
      </w:r>
      <w:r>
        <w:rPr>
          <w:rFonts w:hint="eastAsia" w:ascii="仿宋_GB2312" w:eastAsia="仿宋_GB2312"/>
          <w:sz w:val="32"/>
          <w:szCs w:val="32"/>
        </w:rPr>
        <w:t>因公出国（境）费用、公务接待费、公务用车购置和运行维护费开支单位包括北京市</w:t>
      </w:r>
      <w:r>
        <w:rPr>
          <w:rFonts w:hint="eastAsia" w:ascii="仿宋_GB2312" w:eastAsia="仿宋_GB2312"/>
          <w:sz w:val="32"/>
          <w:szCs w:val="32"/>
          <w:lang w:eastAsia="zh-CN"/>
        </w:rPr>
        <w:t>综合事务中心</w:t>
      </w:r>
      <w:r>
        <w:rPr>
          <w:rFonts w:hint="eastAsia" w:ascii="仿宋_GB2312" w:eastAsia="仿宋_GB2312"/>
          <w:sz w:val="32"/>
          <w:szCs w:val="32"/>
        </w:rPr>
        <w:t>1个单位。</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2024年财政拨款“三公”经费预算</w:t>
      </w:r>
      <w:r>
        <w:rPr>
          <w:rFonts w:hint="eastAsia" w:ascii="仿宋_GB2312" w:eastAsia="仿宋_GB2312"/>
          <w:sz w:val="32"/>
          <w:szCs w:val="32"/>
          <w:lang w:val="en-US" w:eastAsia="zh-CN"/>
        </w:rPr>
        <w:t>1.12</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2023年财政拨款“三公”经费预算增加</w:t>
      </w:r>
      <w:r>
        <w:rPr>
          <w:rFonts w:hint="eastAsia" w:ascii="仿宋_GB2312" w:eastAsia="仿宋_GB2312"/>
          <w:sz w:val="32"/>
          <w:szCs w:val="32"/>
          <w:lang w:val="en-US" w:eastAsia="zh-CN"/>
        </w:rPr>
        <w:t>0.00万元</w:t>
      </w:r>
      <w:r>
        <w:rPr>
          <w:rFonts w:hint="eastAsia" w:ascii="仿宋_GB2312" w:eastAsia="仿宋_GB2312"/>
          <w:sz w:val="32"/>
          <w:szCs w:val="32"/>
        </w:rPr>
        <w:t>。其中：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1.因公出国（境）费用。2024年预算数0.00万元，比2023年年初预算数0.00万元增加0.00万元，主要原因：落实政府过紧日子要求，进一步压减一般性支出。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2.公务接待费。2024年预算数</w:t>
      </w:r>
      <w:r>
        <w:rPr>
          <w:rFonts w:hint="eastAsia" w:ascii="仿宋_GB2312" w:eastAsia="仿宋_GB2312"/>
          <w:sz w:val="32"/>
          <w:szCs w:val="32"/>
          <w:lang w:val="en-US" w:eastAsia="zh-CN"/>
        </w:rPr>
        <w:t>1.12</w:t>
      </w:r>
      <w:r>
        <w:rPr>
          <w:rFonts w:hint="eastAsia" w:ascii="仿宋_GB2312" w:eastAsia="仿宋_GB2312"/>
          <w:sz w:val="32"/>
          <w:szCs w:val="32"/>
        </w:rPr>
        <w:t>万元，</w:t>
      </w:r>
      <w:r>
        <w:rPr>
          <w:rFonts w:hint="eastAsia" w:ascii="仿宋_GB2312" w:eastAsia="仿宋_GB2312"/>
          <w:sz w:val="32"/>
          <w:szCs w:val="32"/>
          <w:lang w:val="en-US" w:eastAsia="zh-CN"/>
        </w:rPr>
        <w:t>比2023年年初预算数增加0.00万元，</w:t>
      </w:r>
      <w:r>
        <w:rPr>
          <w:rFonts w:hint="eastAsia" w:ascii="仿宋_GB2312" w:eastAsia="仿宋_GB2312"/>
          <w:sz w:val="32"/>
          <w:szCs w:val="32"/>
        </w:rPr>
        <w:t>主要原因：落实政府过紧日子要求，进一步压减一般性支出。</w:t>
      </w:r>
    </w:p>
    <w:p>
      <w:pPr>
        <w:spacing w:line="540" w:lineRule="exact"/>
        <w:ind w:firstLine="640" w:firstLineChars="200"/>
        <w:rPr>
          <w:rFonts w:hint="default" w:ascii="仿宋_GB2312" w:eastAsia="仿宋_GB2312"/>
          <w:sz w:val="32"/>
          <w:szCs w:val="32"/>
        </w:rPr>
      </w:pPr>
      <w:r>
        <w:rPr>
          <w:rFonts w:hint="eastAsia" w:ascii="仿宋_GB2312" w:eastAsia="仿宋_GB2312"/>
          <w:sz w:val="32"/>
          <w:szCs w:val="32"/>
        </w:rPr>
        <w:t>3.公务用车购置和运行维护费。2024年预算数0.00万元，包括：公务用车购置费2024年预算数0.00万元，比2023年年初预算数0.00万元增加0.00万元，主要原因：</w:t>
      </w:r>
      <w:r>
        <w:rPr>
          <w:rFonts w:hint="default" w:ascii="仿宋_GB2312" w:eastAsia="仿宋_GB2312"/>
          <w:sz w:val="32"/>
          <w:szCs w:val="32"/>
        </w:rPr>
        <w:t>本单位为公车改革单位，无公车</w:t>
      </w:r>
      <w:r>
        <w:rPr>
          <w:rFonts w:hint="eastAsia" w:ascii="仿宋_GB2312" w:eastAsia="仿宋_GB2312"/>
          <w:sz w:val="32"/>
          <w:szCs w:val="32"/>
        </w:rPr>
        <w:t>；公务用车运行维护费2024年预算数0.00万元，其中：公务用车燃油0.00万元，公务用车维修0.00万元，公务用车保险0.00万元，其他支出0.00万元。公务用车运行维护费2024年预算数比2023年年初预算数0.00万元增加0.00万元，主要原因：</w:t>
      </w:r>
      <w:r>
        <w:rPr>
          <w:rFonts w:hint="default" w:ascii="仿宋_GB2312" w:eastAsia="仿宋_GB2312"/>
          <w:sz w:val="32"/>
          <w:szCs w:val="32"/>
        </w:rPr>
        <w:t>本单位为公车改革单位，无公车。</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2024年北京市</w:t>
      </w:r>
      <w:r>
        <w:rPr>
          <w:rFonts w:hint="eastAsia" w:ascii="仿宋_GB2312" w:eastAsia="仿宋_GB2312"/>
          <w:sz w:val="32"/>
          <w:szCs w:val="32"/>
          <w:lang w:eastAsia="zh-CN"/>
        </w:rPr>
        <w:t>综合事务</w:t>
      </w:r>
      <w:r>
        <w:rPr>
          <w:rFonts w:hint="eastAsia" w:ascii="仿宋_GB2312" w:eastAsia="仿宋_GB2312"/>
          <w:sz w:val="32"/>
          <w:szCs w:val="32"/>
        </w:rPr>
        <w:t>中心政府采购预算总额</w:t>
      </w:r>
      <w:r>
        <w:rPr>
          <w:rFonts w:hint="eastAsia" w:ascii="仿宋_GB2312" w:eastAsia="仿宋_GB2312"/>
          <w:sz w:val="32"/>
          <w:szCs w:val="32"/>
          <w:lang w:val="en-US" w:eastAsia="zh-CN"/>
        </w:rPr>
        <w:t>9220.45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806.55</w:t>
      </w:r>
      <w:r>
        <w:rPr>
          <w:rFonts w:hint="eastAsia" w:ascii="仿宋_GB2312" w:eastAsia="仿宋_GB2312"/>
          <w:sz w:val="32"/>
          <w:szCs w:val="32"/>
        </w:rPr>
        <w:t>万元，政府采购工程预算</w:t>
      </w:r>
      <w:r>
        <w:rPr>
          <w:rFonts w:hint="eastAsia" w:ascii="仿宋_GB2312" w:eastAsia="仿宋_GB2312"/>
          <w:sz w:val="32"/>
          <w:szCs w:val="32"/>
          <w:lang w:val="en-US" w:eastAsia="zh-CN"/>
        </w:rPr>
        <w:t>3980.07</w:t>
      </w:r>
      <w:r>
        <w:rPr>
          <w:rFonts w:hint="eastAsia" w:ascii="仿宋_GB2312" w:eastAsia="仿宋_GB2312"/>
          <w:sz w:val="32"/>
          <w:szCs w:val="32"/>
        </w:rPr>
        <w:t>万元，政府采购服务预算</w:t>
      </w:r>
      <w:r>
        <w:rPr>
          <w:rFonts w:hint="eastAsia" w:ascii="仿宋_GB2312" w:eastAsia="仿宋_GB2312"/>
          <w:sz w:val="32"/>
          <w:szCs w:val="32"/>
          <w:lang w:val="en-US" w:eastAsia="zh-CN"/>
        </w:rPr>
        <w:t>4433.83</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w:t>
      </w:r>
      <w:r>
        <w:rPr>
          <w:rFonts w:hint="eastAsia" w:ascii="仿宋_GB2312" w:eastAsia="仿宋_GB2312"/>
          <w:sz w:val="32"/>
          <w:szCs w:val="32"/>
        </w:rPr>
        <w:t>北京市</w:t>
      </w:r>
      <w:r>
        <w:rPr>
          <w:rFonts w:hint="eastAsia" w:ascii="仿宋_GB2312" w:eastAsia="仿宋_GB2312"/>
          <w:sz w:val="32"/>
          <w:szCs w:val="32"/>
          <w:lang w:eastAsia="zh-CN"/>
        </w:rPr>
        <w:t>综合事务</w:t>
      </w:r>
      <w:r>
        <w:rPr>
          <w:rFonts w:hint="eastAsia" w:ascii="仿宋_GB2312" w:eastAsia="仿宋_GB2312"/>
          <w:sz w:val="32"/>
          <w:szCs w:val="32"/>
        </w:rPr>
        <w:t>中心</w:t>
      </w:r>
      <w:r>
        <w:rPr>
          <w:rFonts w:hint="eastAsia" w:ascii="仿宋_GB2312" w:eastAsia="仿宋_GB2312"/>
          <w:color w:val="000000"/>
          <w:sz w:val="32"/>
          <w:szCs w:val="32"/>
        </w:rPr>
        <w:t>政府购买服务预算总额0.00万元。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本单位为公益一类事业单位，不涉及机关运行经费。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2024年，北京市</w:t>
      </w:r>
      <w:r>
        <w:rPr>
          <w:rFonts w:hint="eastAsia" w:ascii="仿宋_GB2312" w:eastAsia="仿宋_GB2312"/>
          <w:sz w:val="32"/>
          <w:szCs w:val="32"/>
          <w:lang w:eastAsia="zh-CN"/>
        </w:rPr>
        <w:t>综合事务中心</w:t>
      </w:r>
      <w:r>
        <w:rPr>
          <w:rFonts w:hint="eastAsia" w:ascii="仿宋_GB2312" w:eastAsia="仿宋_GB2312"/>
          <w:sz w:val="32"/>
          <w:szCs w:val="32"/>
        </w:rPr>
        <w:t>填报绩效目标的预算项目</w:t>
      </w:r>
      <w:r>
        <w:rPr>
          <w:rFonts w:hint="eastAsia" w:ascii="仿宋_GB2312" w:eastAsia="仿宋_GB2312"/>
          <w:sz w:val="32"/>
          <w:szCs w:val="32"/>
          <w:lang w:val="en-US" w:eastAsia="zh-CN"/>
        </w:rPr>
        <w:t>20</w:t>
      </w:r>
      <w:r>
        <w:rPr>
          <w:rFonts w:hint="eastAsia" w:ascii="仿宋_GB2312" w:eastAsia="仿宋_GB2312"/>
          <w:sz w:val="32"/>
          <w:szCs w:val="32"/>
        </w:rPr>
        <w:t>个，占本单位本年预算项目</w:t>
      </w:r>
      <w:r>
        <w:rPr>
          <w:rFonts w:hint="eastAsia" w:ascii="仿宋_GB2312" w:eastAsia="仿宋_GB2312"/>
          <w:sz w:val="32"/>
          <w:szCs w:val="32"/>
          <w:lang w:val="en-US" w:eastAsia="zh-CN"/>
        </w:rPr>
        <w:t>20</w:t>
      </w:r>
      <w:r>
        <w:rPr>
          <w:rFonts w:hint="eastAsia" w:ascii="仿宋_GB2312" w:eastAsia="仿宋_GB2312"/>
          <w:sz w:val="32"/>
          <w:szCs w:val="32"/>
        </w:rPr>
        <w:t>个的100%。填报绩效目标的项目支出预算</w:t>
      </w:r>
      <w:r>
        <w:rPr>
          <w:rFonts w:hint="eastAsia" w:ascii="仿宋_GB2312" w:eastAsia="仿宋_GB2312"/>
          <w:sz w:val="32"/>
          <w:szCs w:val="32"/>
          <w:lang w:val="en-US" w:eastAsia="zh-CN"/>
        </w:rPr>
        <w:t>10425.96</w:t>
      </w:r>
      <w:r>
        <w:rPr>
          <w:rFonts w:hint="eastAsia" w:ascii="仿宋_GB2312" w:eastAsia="仿宋_GB2312"/>
          <w:sz w:val="32"/>
          <w:szCs w:val="32"/>
        </w:rPr>
        <w:t>万元，占本单位本年项目支出预算的100%。</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sz w:val="32"/>
          <w:szCs w:val="32"/>
        </w:rPr>
        <w:t xml:space="preserve"> 本单位2024年无重点行政事业性收费。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eastAsia="仿宋_GB2312"/>
          <w:sz w:val="32"/>
          <w:szCs w:val="32"/>
        </w:rPr>
        <w:t>北京市</w:t>
      </w:r>
      <w:r>
        <w:rPr>
          <w:rFonts w:hint="eastAsia" w:ascii="仿宋_GB2312" w:eastAsia="仿宋_GB2312"/>
          <w:sz w:val="32"/>
          <w:szCs w:val="32"/>
          <w:lang w:eastAsia="zh-CN"/>
        </w:rPr>
        <w:t>综合事务中心</w:t>
      </w:r>
      <w:r>
        <w:rPr>
          <w:rFonts w:hint="eastAsia" w:ascii="仿宋_GB2312" w:eastAsia="仿宋_GB2312"/>
          <w:color w:val="000000"/>
          <w:sz w:val="32"/>
          <w:szCs w:val="32"/>
        </w:rPr>
        <w:t>共有车辆0台，共计0.00万元；单位价值50万元以上的设备0台（套）、共计0.00万元。2024年预算安排中，购置单位价值50万元以上的设备0台（套），共计0.00万元。</w: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附件：北京市</w:t>
      </w:r>
      <w:r>
        <w:rPr>
          <w:rFonts w:hint="eastAsia" w:ascii="仿宋_GB2312" w:eastAsia="仿宋_GB2312"/>
          <w:color w:val="000000"/>
          <w:sz w:val="32"/>
          <w:szCs w:val="32"/>
          <w:lang w:eastAsia="zh-CN"/>
        </w:rPr>
        <w:t>综合事务中心</w:t>
      </w:r>
      <w:r>
        <w:rPr>
          <w:rFonts w:hint="eastAsia" w:ascii="仿宋_GB2312" w:eastAsia="仿宋_GB2312"/>
          <w:color w:val="000000"/>
          <w:sz w:val="32"/>
          <w:szCs w:val="32"/>
        </w:rPr>
        <w:t>2024年度单位预算报表</w:t>
      </w:r>
      <w:r>
        <w:rPr>
          <w:rFonts w:hint="eastAsia" w:ascii="仿宋_GB2312" w:eastAsia="仿宋_GB2312" w:cs="宋体"/>
          <w:color w:val="000000"/>
          <w:kern w:val="0"/>
          <w:sz w:val="32"/>
          <w:szCs w:val="32"/>
          <w:lang w:val="zh-CN"/>
        </w:rPr>
        <w:t xml:space="preserve"> </w:t>
      </w:r>
    </w:p>
    <w:p>
      <w:pPr>
        <w:spacing w:line="560" w:lineRule="exact"/>
        <w:rPr>
          <w:rFonts w:ascii="仿宋_GB2312" w:eastAsia="仿宋_GB2312"/>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RlZmY5ZGRhMDcxN2JiNWRhMzUwZDA5YjFlNDI5MzcifQ=="/>
  </w:docVars>
  <w:rsids>
    <w:rsidRoot w:val="0081266C"/>
    <w:rsid w:val="00071CD5"/>
    <w:rsid w:val="000B6F68"/>
    <w:rsid w:val="000E6F3B"/>
    <w:rsid w:val="00126540"/>
    <w:rsid w:val="0014120C"/>
    <w:rsid w:val="0014548A"/>
    <w:rsid w:val="00173C25"/>
    <w:rsid w:val="001D6D37"/>
    <w:rsid w:val="001E0CC1"/>
    <w:rsid w:val="00201D0F"/>
    <w:rsid w:val="00224151"/>
    <w:rsid w:val="002D633E"/>
    <w:rsid w:val="002E38A8"/>
    <w:rsid w:val="00414D7B"/>
    <w:rsid w:val="00447147"/>
    <w:rsid w:val="00477EB3"/>
    <w:rsid w:val="004832EF"/>
    <w:rsid w:val="004A26CE"/>
    <w:rsid w:val="004B4B50"/>
    <w:rsid w:val="00522DD2"/>
    <w:rsid w:val="0055379C"/>
    <w:rsid w:val="00557D45"/>
    <w:rsid w:val="0063449D"/>
    <w:rsid w:val="006675BC"/>
    <w:rsid w:val="007038B7"/>
    <w:rsid w:val="00785C76"/>
    <w:rsid w:val="0078651C"/>
    <w:rsid w:val="00796390"/>
    <w:rsid w:val="0081266C"/>
    <w:rsid w:val="00844E53"/>
    <w:rsid w:val="00912E64"/>
    <w:rsid w:val="0093775C"/>
    <w:rsid w:val="009A622C"/>
    <w:rsid w:val="00A4595F"/>
    <w:rsid w:val="00AE29CB"/>
    <w:rsid w:val="00B263B6"/>
    <w:rsid w:val="00B716FE"/>
    <w:rsid w:val="00B90AFF"/>
    <w:rsid w:val="00BA540A"/>
    <w:rsid w:val="00BA7A05"/>
    <w:rsid w:val="00BB017C"/>
    <w:rsid w:val="00BE3316"/>
    <w:rsid w:val="00BF0D6E"/>
    <w:rsid w:val="00C31625"/>
    <w:rsid w:val="00C35F36"/>
    <w:rsid w:val="00CE1864"/>
    <w:rsid w:val="00D62CE2"/>
    <w:rsid w:val="00DD59AE"/>
    <w:rsid w:val="00E95C46"/>
    <w:rsid w:val="00EB1603"/>
    <w:rsid w:val="00EC113C"/>
    <w:rsid w:val="00EE5AEF"/>
    <w:rsid w:val="00F31BF4"/>
    <w:rsid w:val="00FD19E7"/>
    <w:rsid w:val="00FF6C39"/>
    <w:rsid w:val="15D6F104"/>
    <w:rsid w:val="1B1B6480"/>
    <w:rsid w:val="1D5834A3"/>
    <w:rsid w:val="1FFD61A8"/>
    <w:rsid w:val="56427760"/>
    <w:rsid w:val="67657AA7"/>
    <w:rsid w:val="68540474"/>
    <w:rsid w:val="6BAF6C83"/>
    <w:rsid w:val="6BDF584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semiHidden/>
    <w:qFormat/>
    <w:uiPriority w:val="99"/>
    <w:rPr>
      <w:sz w:val="18"/>
      <w:szCs w:val="18"/>
    </w:rPr>
  </w:style>
  <w:style w:type="character" w:customStyle="1" w:styleId="9">
    <w:name w:val="页脚 Char"/>
    <w:basedOn w:val="7"/>
    <w:link w:val="4"/>
    <w:autoRedefine/>
    <w:semiHidden/>
    <w:qFormat/>
    <w:uiPriority w:val="99"/>
    <w:rPr>
      <w:sz w:val="18"/>
      <w:szCs w:val="18"/>
    </w:rPr>
  </w:style>
  <w:style w:type="character" w:customStyle="1" w:styleId="10">
    <w:name w:val="标题 2 Char"/>
    <w:basedOn w:val="7"/>
    <w:link w:val="2"/>
    <w:qFormat/>
    <w:uiPriority w:val="0"/>
    <w:rPr>
      <w:rFonts w:ascii="Cambria" w:hAnsi="Cambria" w:eastAsia="黑体" w:cs="Times New Roman"/>
      <w:b/>
      <w:bCs/>
      <w:kern w:val="0"/>
      <w:sz w:val="36"/>
      <w:szCs w:val="32"/>
    </w:rPr>
  </w:style>
  <w:style w:type="character" w:customStyle="1" w:styleId="11">
    <w:name w:val="批注框文本 Char"/>
    <w:basedOn w:val="7"/>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I:\&#24037;&#20316;&#31807;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I:\&#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0"/>
      <c:spPr>
        <a:noFill/>
        <a:ln>
          <a:noFill/>
        </a:ln>
        <a:effectLst/>
      </c:spPr>
    </c:title>
    <c:autoTitleDeleted val="0"/>
    <c:plotArea>
      <c:layout>
        <c:manualLayout>
          <c:layoutTarget val="inner"/>
          <c:xMode val="edge"/>
          <c:yMode val="edge"/>
          <c:x val="0.208242853650324"/>
          <c:y val="0.191524672554617"/>
          <c:w val="0.410110660596248"/>
          <c:h val="0.567768773428869"/>
        </c:manualLayout>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rgbClr val="FF0000"/>
              </a:solidFill>
              <a:ln w="19050">
                <a:solidFill>
                  <a:schemeClr val="lt1"/>
                </a:solidFill>
              </a:ln>
              <a:effectLst/>
            </c:spPr>
          </c:dPt>
          <c:dLbls>
            <c:dLbl>
              <c:idx val="0"/>
              <c:layout>
                <c:manualLayout>
                  <c:x val="-0.0147943853239786"/>
                  <c:y val="-0.210564591834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67210697959767"/>
                  <c:y val="0.01255602173815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132570194982218"/>
                  <c:y val="-0.015232037601139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[工作簿1.xlsx]Sheet1!$E$5:$E$13</c:f>
              <c:strCache>
                <c:ptCount val="9"/>
                <c:pt idx="0">
                  <c:v>一般公共预算拨款收入</c:v>
                </c:pt>
                <c:pt idx="1">
                  <c:v>政府性基金预算拨款收入</c:v>
                </c:pt>
                <c:pt idx="2">
                  <c:v>国有资本经营预算拨款收入</c:v>
                </c:pt>
                <c:pt idx="3">
                  <c:v>事业收入</c:v>
                </c:pt>
                <c:pt idx="4">
                  <c:v>上级补助收入</c:v>
                </c:pt>
                <c:pt idx="5">
                  <c:v>附属单位上缴收入</c:v>
                </c:pt>
                <c:pt idx="6">
                  <c:v>事业单位经营收入</c:v>
                </c:pt>
                <c:pt idx="7">
                  <c:v>其他收入</c:v>
                </c:pt>
                <c:pt idx="8">
                  <c:v>上年结转结余</c:v>
                </c:pt>
              </c:strCache>
            </c:strRef>
          </c:cat>
          <c:val>
            <c:numRef>
              <c:f>[工作簿1.xlsx]Sheet1!$F$5:$F$13</c:f>
              <c:numCache>
                <c:formatCode>General</c:formatCode>
                <c:ptCount val="9"/>
                <c:pt idx="0">
                  <c:v>11930.57</c:v>
                </c:pt>
                <c:pt idx="7">
                  <c:v>2.02</c:v>
                </c:pt>
                <c:pt idx="8">
                  <c:v>216.93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699578668659388"/>
          <c:y val="0.217760407686266"/>
          <c:w val="0.282740729465056"/>
          <c:h val="0.56163943010773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solidFill>
              <a:schemeClr val="accent1">
                <a:lumMod val="75000"/>
              </a:schemeClr>
            </a:solidFill>
          </c:spPr>
          <c:explosion val="0"/>
          <c:dPt>
            <c:idx val="0"/>
            <c:bubble3D val="0"/>
            <c:spPr>
              <a:solidFill>
                <a:schemeClr val="accent1">
                  <a:lumMod val="75000"/>
                </a:schemeClr>
              </a:solidFill>
              <a:ln w="19050">
                <a:solidFill>
                  <a:schemeClr val="lt1"/>
                </a:solidFill>
              </a:ln>
              <a:effectLst/>
            </c:spPr>
          </c:dPt>
          <c:dPt>
            <c:idx val="1"/>
            <c:bubble3D val="0"/>
            <c:spPr>
              <a:solidFill>
                <a:srgbClr val="FF0000"/>
              </a:solidFill>
              <a:ln w="19050">
                <a:solidFill>
                  <a:schemeClr val="lt1"/>
                </a:solidFill>
              </a:ln>
              <a:effectLst/>
            </c:spPr>
          </c:dPt>
          <c:dLbls>
            <c:dLbl>
              <c:idx val="0"/>
              <c:layout>
                <c:manualLayout>
                  <c:x val="-0.0698823272090989"/>
                  <c:y val="0.13837343248760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702277996500437"/>
                  <c:y val="-0.16911307961504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[工作簿1.xlsx]Sheet1!$A$4:$A$5</c:f>
              <c:strCache>
                <c:ptCount val="2"/>
                <c:pt idx="0">
                  <c:v>基本支出</c:v>
                </c:pt>
                <c:pt idx="1">
                  <c:v>项目支出</c:v>
                </c:pt>
              </c:strCache>
            </c:strRef>
          </c:cat>
          <c:val>
            <c:numRef>
              <c:f>[工作簿1.xlsx]Sheet1!$B$4:$B$5</c:f>
              <c:numCache>
                <c:formatCode>General</c:formatCode>
                <c:ptCount val="2"/>
                <c:pt idx="0">
                  <c:v>1723.56</c:v>
                </c:pt>
                <c:pt idx="1">
                  <c:v>10425.96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C7F51-BF18-484F-907D-479D6BA3DD85}">
  <ds:schemaRefs/>
</ds:datastoreItem>
</file>

<file path=docProps/app.xml><?xml version="1.0" encoding="utf-8"?>
<Properties xmlns="http://schemas.openxmlformats.org/officeDocument/2006/extended-properties" xmlns:vt="http://schemas.openxmlformats.org/officeDocument/2006/docPropsVTypes">
  <Pages>8</Pages>
  <Words>427</Words>
  <Characters>2437</Characters>
  <Lines>20</Lines>
  <Paragraphs>5</Paragraphs>
  <TotalTime>4</TotalTime>
  <ScaleCrop>false</ScaleCrop>
  <LinksUpToDate>false</LinksUpToDate>
  <CharactersWithSpaces>2859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2024-02-29T19:32:00Z</dcterms:created>
  <dc:creator>user</dc:creator>
  <cp:lastModifiedBy>羊三岁</cp:lastModifiedBy>
  <dcterms:modified xsi:type="dcterms:W3CDTF">2024-03-13T11:44:15Z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3561C0D7C5EE4CCF8B3B1328925C0503_12</vt:lpwstr>
  </property>
</Properties>
</file>