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exact"/>
        <w:rPr>
          <w:rFonts w:ascii="Cambria" w:eastAsia="黑体"/>
          <w:sz w:val="36"/>
        </w:rPr>
      </w:pPr>
    </w:p>
    <w:p>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徐悲鸿纪念馆2024年度单位预算信息公开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2024年度单位预算情况说明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2024年度单位预算报表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8"/>
          <w:kern w:val="0"/>
          <w:sz w:val="32"/>
          <w:szCs w:val="32"/>
          <w:lang w:val="zh-CN"/>
        </w:rPr>
        <w:t>十</w:t>
      </w:r>
      <w:r>
        <w:rPr>
          <w:rFonts w:hint="eastAsia" w:ascii="仿宋_GB2312" w:hAnsi="仿宋_GB2312" w:eastAsia="仿宋_GB2312" w:cs="仿宋_GB2312"/>
          <w:color w:val="000000"/>
          <w:kern w:val="0"/>
          <w:sz w:val="32"/>
          <w:szCs w:val="32"/>
          <w:lang w:val="zh-CN"/>
        </w:rPr>
        <w:t>二、政府购买服务预算财政拨款明细表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pStyle w:val="2"/>
      </w:pPr>
    </w:p>
    <w:p>
      <w:pPr>
        <w:pStyle w:val="2"/>
        <w:rPr>
          <w:rFonts w:ascii="方正小标宋简体" w:hAnsi="Times New Roman" w:eastAsia="方正小标宋简体" w:cs="Droid Sans"/>
          <w:b w:val="0"/>
          <w:bCs w:val="0"/>
          <w:color w:val="000000"/>
          <w:sz w:val="36"/>
          <w:szCs w:val="36"/>
        </w:rPr>
      </w:pPr>
    </w:p>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2024年度单位预算情况说明</w:t>
      </w:r>
    </w:p>
    <w:p>
      <w:pPr>
        <w:spacing w:line="560" w:lineRule="exact"/>
        <w:ind w:firstLine="640" w:firstLineChars="200"/>
        <w:rPr>
          <w:rFonts w:ascii="黑体" w:eastAsia="黑体"/>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ind w:firstLine="800" w:firstLineChars="250"/>
        <w:rPr>
          <w:rFonts w:ascii="仿宋_GB2312" w:eastAsia="仿宋_GB2312"/>
          <w:sz w:val="32"/>
          <w:szCs w:val="32"/>
        </w:rPr>
      </w:pPr>
      <w:r>
        <w:rPr>
          <w:rFonts w:hint="eastAsia" w:ascii="仿宋_GB2312" w:eastAsia="仿宋_GB2312"/>
          <w:sz w:val="32"/>
          <w:szCs w:val="32"/>
        </w:rPr>
        <w:t>徐悲鸿纪念馆为全额拨款事业单位，隶属于北京市文物局，执行政府会计制度，单位负责人王红英，基本职能为收藏展览文物，弘扬民族文化，文物征集、鉴定、登编、修复、保管、文物展览、文物复制与修复、文物宣传、文物讲解。</w:t>
      </w:r>
    </w:p>
    <w:p>
      <w:pPr>
        <w:pStyle w:val="2"/>
        <w:ind w:firstLine="640" w:firstLineChars="200"/>
        <w:rPr>
          <w:rFonts w:hint="eastAsia" w:ascii="楷体_GB2312" w:hAnsi="Times New Roman" w:eastAsia="楷体_GB2312" w:cs="Droid Sans"/>
          <w:b w:val="0"/>
          <w:bCs w:val="0"/>
          <w:color w:val="000000"/>
          <w:kern w:val="2"/>
          <w:sz w:val="32"/>
          <w:szCs w:val="32"/>
          <w:lang w:val="en-US" w:eastAsia="zh-CN" w:bidi="ar-SA"/>
        </w:rPr>
      </w:pPr>
      <w:r>
        <w:rPr>
          <w:rFonts w:hint="eastAsia" w:ascii="楷体_GB2312" w:hAnsi="Times New Roman" w:eastAsia="楷体_GB2312" w:cs="Droid Sans"/>
          <w:b w:val="0"/>
          <w:bCs w:val="0"/>
          <w:color w:val="000000"/>
          <w:kern w:val="2"/>
          <w:sz w:val="32"/>
          <w:szCs w:val="32"/>
          <w:lang w:val="en-US" w:eastAsia="zh-CN" w:bidi="ar-SA"/>
        </w:rPr>
        <w:t>（二）机构设置情况</w:t>
      </w:r>
    </w:p>
    <w:p>
      <w:pPr>
        <w:pStyle w:val="2"/>
        <w:ind w:firstLine="640" w:firstLineChars="200"/>
        <w:rPr>
          <w:rFonts w:ascii="仿宋_GB2312" w:hAnsi="Calibri" w:eastAsia="仿宋_GB2312"/>
          <w:b w:val="0"/>
          <w:bCs w:val="0"/>
        </w:rPr>
      </w:pPr>
      <w:r>
        <w:rPr>
          <w:rFonts w:hint="eastAsia" w:ascii="仿宋_GB2312" w:hAnsi="Calibri" w:eastAsia="仿宋_GB2312"/>
          <w:b w:val="0"/>
          <w:bCs w:val="0"/>
        </w:rPr>
        <w:t>徐悲鸿纪念馆现共设立5个部门，分别是办公室、安全保障部、展览典藏部、社教部及信息网络研究部。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徐悲鸿纪念馆单位行政编制0人，实际0人；事业编制35人，实际33人；聘用人员1人。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离退休人员24人，其中：离休1人，退休23人。</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pPr>
        <w:widowControl/>
        <w:ind w:firstLine="640" w:firstLineChars="200"/>
        <w:rPr>
          <w:rFonts w:ascii="仿宋_GB2312" w:eastAsia="仿宋_GB2312"/>
          <w:sz w:val="32"/>
          <w:szCs w:val="32"/>
        </w:rPr>
      </w:pPr>
      <w:r>
        <w:rPr>
          <w:rFonts w:hint="eastAsia" w:ascii="仿宋_GB2312" w:eastAsia="仿宋_GB2312"/>
          <w:sz w:val="32"/>
          <w:szCs w:val="32"/>
        </w:rPr>
        <w:t>2024年度收入预算</w:t>
      </w:r>
      <w:r>
        <w:rPr>
          <w:rFonts w:ascii="仿宋_GB2312" w:eastAsia="仿宋_GB2312"/>
          <w:sz w:val="32"/>
          <w:szCs w:val="32"/>
        </w:rPr>
        <w:t>2,987.11</w:t>
      </w:r>
      <w:r>
        <w:rPr>
          <w:rFonts w:hint="eastAsia" w:ascii="仿宋_GB2312" w:eastAsia="仿宋_GB2312"/>
          <w:sz w:val="32"/>
          <w:szCs w:val="32"/>
        </w:rPr>
        <w:t>万元，比2023年年初预算数3290.</w:t>
      </w:r>
      <w:r>
        <w:rPr>
          <w:rFonts w:ascii="仿宋_GB2312" w:eastAsia="仿宋_GB2312"/>
          <w:sz w:val="32"/>
          <w:szCs w:val="32"/>
        </w:rPr>
        <w:t>22</w:t>
      </w:r>
      <w:r>
        <w:rPr>
          <w:rFonts w:hint="eastAsia" w:ascii="仿宋_GB2312" w:eastAsia="仿宋_GB2312"/>
          <w:sz w:val="32"/>
          <w:szCs w:val="32"/>
        </w:rPr>
        <w:t>万元减少</w:t>
      </w:r>
      <w:r>
        <w:rPr>
          <w:rFonts w:ascii="仿宋_GB2312" w:eastAsia="仿宋_GB2312"/>
          <w:sz w:val="32"/>
          <w:szCs w:val="32"/>
        </w:rPr>
        <w:t>303.11</w:t>
      </w:r>
      <w:r>
        <w:rPr>
          <w:rFonts w:hint="eastAsia" w:ascii="仿宋_GB2312" w:eastAsia="仿宋_GB2312"/>
          <w:sz w:val="32"/>
          <w:szCs w:val="32"/>
        </w:rPr>
        <w:t>万元，下降</w:t>
      </w:r>
      <w:r>
        <w:rPr>
          <w:rFonts w:ascii="仿宋_GB2312" w:eastAsia="仿宋_GB2312"/>
          <w:sz w:val="32"/>
          <w:szCs w:val="32"/>
        </w:rPr>
        <w:t>9.21</w:t>
      </w:r>
      <w:r>
        <w:rPr>
          <w:rFonts w:hint="eastAsia" w:ascii="仿宋_GB2312" w:eastAsia="仿宋_GB2312"/>
          <w:sz w:val="32"/>
          <w:szCs w:val="32"/>
        </w:rPr>
        <w:t>%。主要原因是落实政府</w:t>
      </w:r>
      <w:r>
        <w:rPr>
          <w:rFonts w:ascii="仿宋_GB2312" w:eastAsia="仿宋_GB2312"/>
          <w:sz w:val="32"/>
          <w:szCs w:val="32"/>
        </w:rPr>
        <w:t>过紧日子</w:t>
      </w:r>
      <w:r>
        <w:rPr>
          <w:rFonts w:hint="eastAsia" w:ascii="仿宋_GB2312" w:eastAsia="仿宋_GB2312"/>
          <w:sz w:val="32"/>
          <w:szCs w:val="32"/>
        </w:rPr>
        <w:t>，</w:t>
      </w:r>
      <w:r>
        <w:rPr>
          <w:rFonts w:ascii="仿宋_GB2312" w:eastAsia="仿宋_GB2312"/>
          <w:sz w:val="32"/>
          <w:szCs w:val="32"/>
        </w:rPr>
        <w:t>厉行勤俭节约的要求，</w:t>
      </w:r>
      <w:r>
        <w:rPr>
          <w:rFonts w:hint="eastAsia" w:ascii="仿宋_GB2312" w:eastAsia="仿宋_GB2312"/>
          <w:sz w:val="32"/>
          <w:szCs w:val="32"/>
        </w:rPr>
        <w:t>严格</w:t>
      </w:r>
      <w:r>
        <w:rPr>
          <w:rFonts w:ascii="仿宋_GB2312" w:eastAsia="仿宋_GB2312"/>
          <w:sz w:val="32"/>
          <w:szCs w:val="32"/>
        </w:rPr>
        <w:t>控制各项开支。</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ascii="仿宋_GB2312" w:eastAsia="仿宋_GB2312"/>
          <w:sz w:val="32"/>
          <w:szCs w:val="32"/>
        </w:rPr>
        <w:t>2,977.11</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ascii="仿宋_GB2312" w:eastAsia="仿宋_GB2312"/>
          <w:sz w:val="32"/>
          <w:szCs w:val="32"/>
        </w:rPr>
        <w:t>2,977.11</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ascii="楷体_GB2312" w:eastAsia="楷体_GB2312"/>
          <w:sz w:val="32"/>
          <w:szCs w:val="32"/>
        </w:rPr>
        <w:t>10.00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w:t>
      </w:r>
      <w:r>
        <w:rPr>
          <w:rFonts w:ascii="仿宋_GB2312" w:eastAsia="仿宋_GB2312"/>
          <w:sz w:val="32"/>
          <w:szCs w:val="32"/>
        </w:rPr>
        <w:t>9.80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w:t>
      </w:r>
      <w:r>
        <w:rPr>
          <w:rFonts w:ascii="仿宋_GB2312" w:eastAsia="仿宋_GB2312"/>
          <w:sz w:val="32"/>
          <w:szCs w:val="32"/>
        </w:rPr>
        <w:t>0.20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w:t>
      </w:r>
      <w:r>
        <w:rPr>
          <w:rFonts w:ascii="楷体_GB2312" w:eastAsia="楷体_GB2312"/>
          <w:sz w:val="32"/>
          <w:szCs w:val="32"/>
        </w:rPr>
        <w:t>0.00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w:t>
      </w:r>
      <w:r>
        <w:rPr>
          <w:rFonts w:ascii="仿宋_GB2312" w:eastAsia="仿宋_GB2312"/>
          <w:sz w:val="32"/>
          <w:szCs w:val="32"/>
        </w:rPr>
        <w:t>0.00</w:t>
      </w:r>
      <w:r>
        <w:rPr>
          <w:rFonts w:hint="eastAsia" w:ascii="仿宋_GB2312" w:eastAsia="仿宋_GB2312"/>
          <w:sz w:val="32"/>
          <w:szCs w:val="32"/>
        </w:rPr>
        <w:t>万元。</w:t>
      </w:r>
    </w:p>
    <w:p>
      <w:pPr>
        <w:pStyle w:val="2"/>
      </w:pPr>
      <w:r>
        <w:drawing>
          <wp:inline distT="0" distB="0" distL="0" distR="0">
            <wp:extent cx="5274310" cy="2674620"/>
            <wp:effectExtent l="0" t="0" r="2540" b="1143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pStyle w:val="2"/>
        <w:jc w:val="center"/>
        <w:rPr>
          <w:rFonts w:ascii="仿宋_GB2312" w:eastAsia="仿宋_GB2312"/>
          <w:b w:val="0"/>
          <w:bCs w:val="0"/>
        </w:rPr>
      </w:pPr>
      <w:r>
        <w:rPr>
          <w:rFonts w:hint="eastAsia" w:ascii="仿宋_GB2312" w:eastAsia="仿宋_GB2312"/>
        </w:rPr>
        <w:t>图1：收入预算</w:t>
      </w:r>
    </w:p>
    <w:p>
      <w:pPr>
        <w:spacing w:line="560" w:lineRule="exact"/>
        <w:ind w:firstLine="640" w:firstLineChars="200"/>
        <w:rPr>
          <w:rFonts w:ascii="黑体" w:eastAsia="黑体"/>
          <w:sz w:val="32"/>
          <w:szCs w:val="32"/>
        </w:rPr>
      </w:pPr>
    </w:p>
    <w:p>
      <w:pPr>
        <w:spacing w:line="560" w:lineRule="exact"/>
        <w:ind w:firstLine="640" w:firstLineChars="200"/>
        <w:rPr>
          <w:rFonts w:hint="eastAsia" w:ascii="黑体" w:eastAsia="黑体"/>
          <w:sz w:val="32"/>
          <w:szCs w:val="32"/>
        </w:rPr>
      </w:pPr>
    </w:p>
    <w:p>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pPr>
        <w:widowControl/>
        <w:ind w:firstLine="800" w:firstLineChars="250"/>
        <w:rPr>
          <w:rFonts w:ascii="仿宋_GB2312" w:eastAsia="仿宋_GB2312"/>
          <w:sz w:val="32"/>
          <w:szCs w:val="32"/>
        </w:rPr>
      </w:pPr>
      <w:r>
        <w:rPr>
          <w:rFonts w:hint="eastAsia" w:ascii="仿宋_GB2312" w:eastAsia="仿宋_GB2312"/>
          <w:sz w:val="32"/>
          <w:szCs w:val="32"/>
        </w:rPr>
        <w:t>2024年支出预算</w:t>
      </w:r>
      <w:r>
        <w:rPr>
          <w:rFonts w:ascii="仿宋_GB2312" w:eastAsia="仿宋_GB2312"/>
          <w:sz w:val="32"/>
          <w:szCs w:val="32"/>
        </w:rPr>
        <w:t>2,987.11</w:t>
      </w:r>
      <w:r>
        <w:rPr>
          <w:rFonts w:hint="eastAsia" w:ascii="仿宋_GB2312" w:eastAsia="仿宋_GB2312"/>
          <w:sz w:val="32"/>
          <w:szCs w:val="32"/>
        </w:rPr>
        <w:t>万元，比2023年年初预算数3</w:t>
      </w:r>
      <w:r>
        <w:rPr>
          <w:rFonts w:ascii="仿宋_GB2312" w:eastAsia="仿宋_GB2312"/>
          <w:sz w:val="32"/>
          <w:szCs w:val="32"/>
        </w:rPr>
        <w:t>,</w:t>
      </w:r>
      <w:r>
        <w:rPr>
          <w:rFonts w:hint="eastAsia" w:ascii="仿宋_GB2312" w:eastAsia="仿宋_GB2312"/>
          <w:sz w:val="32"/>
          <w:szCs w:val="32"/>
        </w:rPr>
        <w:t>290.</w:t>
      </w:r>
      <w:r>
        <w:rPr>
          <w:rFonts w:ascii="仿宋_GB2312" w:eastAsia="仿宋_GB2312"/>
          <w:sz w:val="32"/>
          <w:szCs w:val="32"/>
        </w:rPr>
        <w:t>22</w:t>
      </w:r>
      <w:r>
        <w:rPr>
          <w:rFonts w:hint="eastAsia" w:ascii="仿宋_GB2312" w:eastAsia="仿宋_GB2312"/>
          <w:sz w:val="32"/>
          <w:szCs w:val="32"/>
        </w:rPr>
        <w:t>万元减少</w:t>
      </w:r>
      <w:r>
        <w:rPr>
          <w:rFonts w:ascii="仿宋_GB2312" w:eastAsia="仿宋_GB2312"/>
          <w:sz w:val="32"/>
          <w:szCs w:val="32"/>
        </w:rPr>
        <w:t>303.11</w:t>
      </w:r>
      <w:r>
        <w:rPr>
          <w:rFonts w:hint="eastAsia" w:ascii="仿宋_GB2312" w:eastAsia="仿宋_GB2312"/>
          <w:sz w:val="32"/>
          <w:szCs w:val="32"/>
        </w:rPr>
        <w:t>万元，下降</w:t>
      </w:r>
      <w:r>
        <w:rPr>
          <w:rFonts w:ascii="仿宋_GB2312" w:eastAsia="仿宋_GB2312"/>
          <w:sz w:val="32"/>
          <w:szCs w:val="32"/>
        </w:rPr>
        <w:t>9.21</w:t>
      </w:r>
      <w:r>
        <w:rPr>
          <w:rFonts w:hint="eastAsia" w:ascii="仿宋_GB2312" w:eastAsia="仿宋_GB2312"/>
          <w:sz w:val="32"/>
          <w:szCs w:val="32"/>
        </w:rPr>
        <w:t>%。主要原因是落实政府</w:t>
      </w:r>
      <w:r>
        <w:rPr>
          <w:rFonts w:ascii="仿宋_GB2312" w:eastAsia="仿宋_GB2312"/>
          <w:sz w:val="32"/>
          <w:szCs w:val="32"/>
        </w:rPr>
        <w:t>过紧日子</w:t>
      </w:r>
      <w:r>
        <w:rPr>
          <w:rFonts w:hint="eastAsia" w:ascii="仿宋_GB2312" w:eastAsia="仿宋_GB2312"/>
          <w:sz w:val="32"/>
          <w:szCs w:val="32"/>
        </w:rPr>
        <w:t>，</w:t>
      </w:r>
      <w:r>
        <w:rPr>
          <w:rFonts w:ascii="仿宋_GB2312" w:eastAsia="仿宋_GB2312"/>
          <w:sz w:val="32"/>
          <w:szCs w:val="32"/>
        </w:rPr>
        <w:t>厉行勤俭节约的要求，</w:t>
      </w:r>
      <w:r>
        <w:rPr>
          <w:rFonts w:hint="eastAsia" w:ascii="仿宋_GB2312" w:eastAsia="仿宋_GB2312"/>
          <w:sz w:val="32"/>
          <w:szCs w:val="32"/>
        </w:rPr>
        <w:t>严格</w:t>
      </w:r>
      <w:r>
        <w:rPr>
          <w:rFonts w:ascii="仿宋_GB2312" w:eastAsia="仿宋_GB2312"/>
          <w:sz w:val="32"/>
          <w:szCs w:val="32"/>
        </w:rPr>
        <w:t>控制各项开支。</w:t>
      </w:r>
    </w:p>
    <w:p>
      <w:pPr>
        <w:widowControl/>
        <w:ind w:firstLine="640" w:firstLineChars="20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ascii="仿宋_GB2312" w:eastAsia="仿宋_GB2312"/>
          <w:sz w:val="32"/>
          <w:szCs w:val="32"/>
        </w:rPr>
        <w:t>2,482.11</w:t>
      </w:r>
      <w:r>
        <w:rPr>
          <w:rFonts w:hint="eastAsia" w:ascii="仿宋_GB2312" w:eastAsia="仿宋_GB2312"/>
          <w:sz w:val="32"/>
          <w:szCs w:val="32"/>
        </w:rPr>
        <w:t>万元，占总支出预算</w:t>
      </w:r>
      <w:r>
        <w:rPr>
          <w:rFonts w:ascii="仿宋_GB2312" w:eastAsia="仿宋_GB2312"/>
          <w:sz w:val="32"/>
          <w:szCs w:val="32"/>
        </w:rPr>
        <w:t>83.09</w:t>
      </w:r>
      <w:r>
        <w:rPr>
          <w:rFonts w:hint="eastAsia" w:ascii="仿宋_GB2312" w:eastAsia="仿宋_GB2312"/>
          <w:sz w:val="32"/>
          <w:szCs w:val="32"/>
        </w:rPr>
        <w:t>%，比2023年年初预算数2768.9</w:t>
      </w:r>
      <w:r>
        <w:rPr>
          <w:rFonts w:ascii="仿宋_GB2312" w:eastAsia="仿宋_GB2312"/>
          <w:sz w:val="32"/>
          <w:szCs w:val="32"/>
        </w:rPr>
        <w:t>4</w:t>
      </w:r>
      <w:r>
        <w:rPr>
          <w:rFonts w:hint="eastAsia" w:ascii="仿宋_GB2312" w:eastAsia="仿宋_GB2312"/>
          <w:sz w:val="32"/>
          <w:szCs w:val="32"/>
        </w:rPr>
        <w:t>万元减少</w:t>
      </w:r>
      <w:r>
        <w:rPr>
          <w:rFonts w:ascii="仿宋_GB2312" w:eastAsia="仿宋_GB2312"/>
          <w:sz w:val="32"/>
          <w:szCs w:val="32"/>
        </w:rPr>
        <w:t>286.83</w:t>
      </w:r>
      <w:r>
        <w:rPr>
          <w:rFonts w:hint="eastAsia" w:ascii="仿宋_GB2312" w:eastAsia="仿宋_GB2312"/>
          <w:sz w:val="32"/>
          <w:szCs w:val="32"/>
        </w:rPr>
        <w:t>万元，下降</w:t>
      </w:r>
      <w:r>
        <w:rPr>
          <w:rFonts w:ascii="仿宋_GB2312" w:eastAsia="仿宋_GB2312"/>
          <w:sz w:val="32"/>
          <w:szCs w:val="32"/>
        </w:rPr>
        <w:t>10.36</w:t>
      </w:r>
      <w:r>
        <w:rPr>
          <w:rFonts w:hint="eastAsia" w:ascii="仿宋_GB2312" w:eastAsia="仿宋_GB2312"/>
          <w:sz w:val="32"/>
          <w:szCs w:val="32"/>
        </w:rPr>
        <w:t>%。</w:t>
      </w:r>
    </w:p>
    <w:p>
      <w:pPr>
        <w:widowControl/>
        <w:ind w:firstLine="640" w:firstLineChars="200"/>
        <w:rPr>
          <w:rFonts w:ascii="仿宋_GB2312" w:eastAsia="仿宋_GB2312"/>
          <w:sz w:val="32"/>
          <w:szCs w:val="32"/>
        </w:rPr>
      </w:pPr>
      <w:bookmarkStart w:id="1" w:name="_GoBack"/>
      <w:bookmarkEnd w:id="1"/>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ascii="仿宋_GB2312" w:eastAsia="仿宋_GB2312"/>
          <w:sz w:val="32"/>
          <w:szCs w:val="32"/>
        </w:rPr>
        <w:t>505.00</w:t>
      </w:r>
      <w:r>
        <w:rPr>
          <w:rFonts w:hint="eastAsia" w:ascii="仿宋_GB2312" w:eastAsia="仿宋_GB2312"/>
          <w:sz w:val="32"/>
          <w:szCs w:val="32"/>
        </w:rPr>
        <w:t>万元，比2023年年初预算数521.2</w:t>
      </w:r>
      <w:r>
        <w:rPr>
          <w:rFonts w:ascii="仿宋_GB2312" w:eastAsia="仿宋_GB2312"/>
          <w:sz w:val="32"/>
          <w:szCs w:val="32"/>
        </w:rPr>
        <w:t>8</w:t>
      </w:r>
      <w:r>
        <w:rPr>
          <w:rFonts w:hint="eastAsia" w:ascii="仿宋_GB2312" w:eastAsia="仿宋_GB2312"/>
          <w:sz w:val="32"/>
          <w:szCs w:val="32"/>
        </w:rPr>
        <w:t>万元减少</w:t>
      </w:r>
      <w:r>
        <w:rPr>
          <w:rFonts w:ascii="仿宋_GB2312" w:eastAsia="仿宋_GB2312"/>
          <w:sz w:val="32"/>
          <w:szCs w:val="32"/>
        </w:rPr>
        <w:t>16.28</w:t>
      </w:r>
      <w:r>
        <w:rPr>
          <w:rFonts w:hint="eastAsia" w:ascii="仿宋_GB2312" w:eastAsia="仿宋_GB2312"/>
          <w:sz w:val="32"/>
          <w:szCs w:val="32"/>
        </w:rPr>
        <w:t>万元，下降</w:t>
      </w:r>
      <w:r>
        <w:rPr>
          <w:rFonts w:ascii="仿宋_GB2312" w:eastAsia="仿宋_GB2312"/>
          <w:sz w:val="32"/>
          <w:szCs w:val="32"/>
        </w:rPr>
        <w:t>3.12</w:t>
      </w:r>
      <w:r>
        <w:rPr>
          <w:rFonts w:hint="eastAsia" w:ascii="仿宋_GB2312" w:eastAsia="仿宋_GB2312"/>
          <w:sz w:val="32"/>
          <w:szCs w:val="32"/>
        </w:rPr>
        <w:t>%。</w:t>
      </w:r>
    </w:p>
    <w:p>
      <w:pPr>
        <w:widowControl/>
        <w:rPr>
          <w:rFonts w:ascii="仿宋_GB2312" w:eastAsia="仿宋_GB2312"/>
          <w:sz w:val="32"/>
          <w:szCs w:val="32"/>
        </w:rPr>
      </w:pPr>
      <w:r>
        <w:rPr>
          <w:rFonts w:hint="eastAsia" w:ascii="仿宋_GB2312" w:eastAsia="仿宋_GB2312"/>
          <w:sz w:val="32"/>
          <w:szCs w:val="32"/>
        </w:rPr>
        <w:t>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w:t>
      </w:r>
      <w:r>
        <w:rPr>
          <w:rFonts w:ascii="仿宋_GB2312" w:eastAsia="仿宋_GB2312"/>
          <w:sz w:val="32"/>
          <w:szCs w:val="32"/>
        </w:rPr>
        <w:t>0.00</w:t>
      </w:r>
      <w:r>
        <w:rPr>
          <w:rFonts w:hint="eastAsia" w:ascii="仿宋_GB2312" w:eastAsia="仿宋_GB2312"/>
          <w:sz w:val="32"/>
          <w:szCs w:val="32"/>
        </w:rPr>
        <w:t>万元。</w:t>
      </w:r>
    </w:p>
    <w:p>
      <w:pPr>
        <w:pStyle w:val="2"/>
      </w:pPr>
      <w:r>
        <w:drawing>
          <wp:inline distT="0" distB="0" distL="0" distR="0">
            <wp:extent cx="5041265" cy="2743200"/>
            <wp:effectExtent l="0" t="0" r="6985"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ind w:firstLine="642"/>
        <w:jc w:val="center"/>
        <w:rPr>
          <w:rFonts w:eastAsia="黑体"/>
        </w:rPr>
      </w:pPr>
      <w:r>
        <w:rPr>
          <w:rFonts w:hint="eastAsia" w:ascii="仿宋_GB2312" w:eastAsia="仿宋_GB2312"/>
        </w:rPr>
        <w:t>图2：基本支出和项目支出情况</w:t>
      </w:r>
    </w:p>
    <w:p>
      <w:pPr>
        <w:numPr>
          <w:ilvl w:val="0"/>
          <w:numId w:val="1"/>
        </w:num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年终结转结余资金</w:t>
      </w:r>
      <w:r>
        <w:rPr>
          <w:rFonts w:ascii="楷体_GB2312" w:hAnsi="楷体_GB2312" w:eastAsia="楷体_GB2312" w:cs="楷体_GB2312"/>
          <w:color w:val="000000"/>
          <w:sz w:val="32"/>
          <w:szCs w:val="32"/>
        </w:rPr>
        <w:t>0.00</w:t>
      </w:r>
      <w:r>
        <w:rPr>
          <w:rFonts w:hint="eastAsia" w:ascii="楷体_GB2312" w:hAnsi="楷体_GB2312" w:eastAsia="楷体_GB2312" w:cs="楷体_GB2312"/>
          <w:color w:val="000000"/>
          <w:sz w:val="32"/>
          <w:szCs w:val="32"/>
        </w:rPr>
        <w:t>万元</w:t>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徐悲鸿纪念馆因公出国（境）费用、公务接待费、公务用车购置和运行维护费开支单位包括</w:t>
      </w:r>
      <w:r>
        <w:rPr>
          <w:rFonts w:ascii="仿宋_GB2312" w:eastAsia="仿宋_GB2312"/>
          <w:sz w:val="32"/>
          <w:szCs w:val="32"/>
        </w:rPr>
        <w:t>1</w:t>
      </w:r>
      <w:r>
        <w:rPr>
          <w:rFonts w:hint="eastAsia" w:ascii="仿宋_GB2312" w:eastAsia="仿宋_GB2312"/>
          <w:sz w:val="32"/>
          <w:szCs w:val="32"/>
        </w:rPr>
        <w:t>个所属单位。其他所属单位202</w:t>
      </w:r>
      <w:r>
        <w:rPr>
          <w:rFonts w:ascii="仿宋_GB2312" w:eastAsia="仿宋_GB2312"/>
          <w:sz w:val="32"/>
          <w:szCs w:val="32"/>
        </w:rPr>
        <w:t>4</w:t>
      </w:r>
      <w:r>
        <w:rPr>
          <w:rFonts w:hint="eastAsia" w:ascii="仿宋_GB2312" w:eastAsia="仿宋_GB2312"/>
          <w:sz w:val="32"/>
          <w:szCs w:val="32"/>
        </w:rPr>
        <w:t>年无财政拨款安排的“三公”经费预算。</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pPr>
        <w:widowControl/>
        <w:ind w:firstLine="480" w:firstLineChars="150"/>
        <w:rPr>
          <w:rFonts w:ascii="仿宋_GB2312" w:eastAsia="仿宋_GB2312"/>
          <w:sz w:val="32"/>
          <w:szCs w:val="32"/>
        </w:rPr>
      </w:pPr>
      <w:r>
        <w:rPr>
          <w:rFonts w:hint="eastAsia" w:ascii="仿宋_GB2312" w:eastAsia="仿宋_GB2312"/>
          <w:sz w:val="32"/>
          <w:szCs w:val="32"/>
        </w:rPr>
        <w:t>2024年财政拨款“三公”经费预算</w:t>
      </w:r>
      <w:r>
        <w:rPr>
          <w:rFonts w:ascii="仿宋_GB2312" w:eastAsia="仿宋_GB2312"/>
          <w:sz w:val="32"/>
          <w:szCs w:val="32"/>
        </w:rPr>
        <w:t>2.76</w:t>
      </w:r>
      <w:r>
        <w:rPr>
          <w:rFonts w:hint="eastAsia" w:ascii="仿宋_GB2312" w:eastAsia="仿宋_GB2312"/>
          <w:sz w:val="32"/>
          <w:szCs w:val="32"/>
        </w:rPr>
        <w:t>万元，比2023年财政拨款“三公”经费预算减少</w:t>
      </w:r>
      <w:r>
        <w:rPr>
          <w:rFonts w:ascii="仿宋_GB2312" w:eastAsia="仿宋_GB2312"/>
          <w:sz w:val="32"/>
          <w:szCs w:val="32"/>
        </w:rPr>
        <w:t>0.00</w:t>
      </w:r>
      <w:r>
        <w:rPr>
          <w:rFonts w:hint="eastAsia" w:ascii="仿宋_GB2312" w:eastAsia="仿宋_GB2312"/>
          <w:sz w:val="32"/>
          <w:szCs w:val="32"/>
        </w:rPr>
        <w:t>万元。其中：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1.因公出国（境）费用。2024年预算数</w:t>
      </w:r>
      <w:r>
        <w:rPr>
          <w:rFonts w:ascii="仿宋_GB2312" w:eastAsia="仿宋_GB2312"/>
          <w:sz w:val="32"/>
          <w:szCs w:val="32"/>
        </w:rPr>
        <w:t>0.00</w:t>
      </w:r>
      <w:r>
        <w:rPr>
          <w:rFonts w:hint="eastAsia" w:ascii="仿宋_GB2312" w:eastAsia="仿宋_GB2312"/>
          <w:sz w:val="32"/>
          <w:szCs w:val="32"/>
        </w:rPr>
        <w:t>万元，比2023年年初预算数</w:t>
      </w:r>
      <w:r>
        <w:rPr>
          <w:rFonts w:ascii="仿宋_GB2312" w:eastAsia="仿宋_GB2312"/>
          <w:sz w:val="32"/>
          <w:szCs w:val="32"/>
        </w:rPr>
        <w:t>0.00</w:t>
      </w:r>
      <w:r>
        <w:rPr>
          <w:rFonts w:hint="eastAsia" w:ascii="仿宋_GB2312" w:eastAsia="仿宋_GB2312"/>
          <w:sz w:val="32"/>
          <w:szCs w:val="32"/>
        </w:rPr>
        <w:t>万元。增加</w:t>
      </w:r>
      <w:r>
        <w:rPr>
          <w:rFonts w:ascii="仿宋_GB2312" w:eastAsia="仿宋_GB2312"/>
          <w:sz w:val="32"/>
          <w:szCs w:val="32"/>
        </w:rPr>
        <w:t>0.00</w:t>
      </w:r>
      <w:r>
        <w:rPr>
          <w:rFonts w:hint="eastAsia" w:ascii="仿宋_GB2312" w:eastAsia="仿宋_GB2312"/>
          <w:sz w:val="32"/>
          <w:szCs w:val="32"/>
        </w:rPr>
        <w:t>万元。</w:t>
      </w:r>
    </w:p>
    <w:p>
      <w:pPr>
        <w:widowControl/>
        <w:ind w:firstLine="640" w:firstLineChars="200"/>
        <w:rPr>
          <w:rFonts w:ascii="仿宋_GB2312" w:eastAsia="仿宋_GB2312"/>
          <w:sz w:val="32"/>
          <w:szCs w:val="32"/>
        </w:rPr>
      </w:pPr>
      <w:r>
        <w:rPr>
          <w:rFonts w:hint="eastAsia" w:ascii="仿宋_GB2312" w:eastAsia="仿宋_GB2312"/>
          <w:sz w:val="32"/>
          <w:szCs w:val="32"/>
        </w:rPr>
        <w:t>2.公务接待费。2024年预算数0.</w:t>
      </w:r>
      <w:r>
        <w:rPr>
          <w:rFonts w:ascii="仿宋_GB2312" w:eastAsia="仿宋_GB2312"/>
          <w:sz w:val="32"/>
          <w:szCs w:val="32"/>
        </w:rPr>
        <w:t>29</w:t>
      </w:r>
      <w:r>
        <w:rPr>
          <w:rFonts w:hint="eastAsia" w:ascii="仿宋_GB2312" w:eastAsia="仿宋_GB2312"/>
          <w:sz w:val="32"/>
          <w:szCs w:val="32"/>
        </w:rPr>
        <w:t>万元，比2023年年初预算数0.</w:t>
      </w:r>
      <w:r>
        <w:rPr>
          <w:rFonts w:ascii="仿宋_GB2312" w:eastAsia="仿宋_GB2312"/>
          <w:sz w:val="32"/>
          <w:szCs w:val="32"/>
        </w:rPr>
        <w:t>29</w:t>
      </w:r>
      <w:r>
        <w:rPr>
          <w:rFonts w:hint="eastAsia" w:ascii="仿宋_GB2312" w:eastAsia="仿宋_GB2312"/>
          <w:sz w:val="32"/>
          <w:szCs w:val="32"/>
        </w:rPr>
        <w:t>元增加0</w:t>
      </w:r>
      <w:r>
        <w:rPr>
          <w:rFonts w:ascii="仿宋_GB2312" w:eastAsia="仿宋_GB2312"/>
          <w:sz w:val="32"/>
          <w:szCs w:val="32"/>
        </w:rPr>
        <w:t>.00</w:t>
      </w:r>
      <w:r>
        <w:rPr>
          <w:rFonts w:hint="eastAsia" w:ascii="仿宋_GB2312" w:eastAsia="仿宋_GB2312"/>
          <w:sz w:val="32"/>
          <w:szCs w:val="32"/>
        </w:rPr>
        <w:t>万元。</w:t>
      </w:r>
    </w:p>
    <w:p>
      <w:pPr>
        <w:widowControl/>
        <w:ind w:firstLine="640" w:firstLineChars="200"/>
        <w:rPr>
          <w:rFonts w:ascii="仿宋_GB2312" w:eastAsia="仿宋_GB2312"/>
          <w:sz w:val="32"/>
          <w:szCs w:val="32"/>
        </w:rPr>
      </w:pPr>
      <w:r>
        <w:rPr>
          <w:rFonts w:hint="eastAsia" w:ascii="仿宋_GB2312" w:eastAsia="仿宋_GB2312"/>
          <w:sz w:val="32"/>
          <w:szCs w:val="32"/>
        </w:rPr>
        <w:t>3.公务用车购置和运行维护费。2024年预算数2.</w:t>
      </w:r>
      <w:r>
        <w:rPr>
          <w:rFonts w:ascii="仿宋_GB2312" w:eastAsia="仿宋_GB2312"/>
          <w:sz w:val="32"/>
          <w:szCs w:val="32"/>
        </w:rPr>
        <w:t>47</w:t>
      </w:r>
      <w:r>
        <w:rPr>
          <w:rFonts w:hint="eastAsia" w:ascii="仿宋_GB2312" w:eastAsia="仿宋_GB2312"/>
          <w:sz w:val="32"/>
          <w:szCs w:val="32"/>
        </w:rPr>
        <w:t>万元，包括：公务用车购置费2024年预算数</w:t>
      </w:r>
      <w:r>
        <w:rPr>
          <w:rFonts w:ascii="仿宋_GB2312" w:eastAsia="仿宋_GB2312"/>
          <w:sz w:val="32"/>
          <w:szCs w:val="32"/>
        </w:rPr>
        <w:t>0.00</w:t>
      </w:r>
      <w:r>
        <w:rPr>
          <w:rFonts w:hint="eastAsia" w:ascii="仿宋_GB2312" w:eastAsia="仿宋_GB2312"/>
          <w:sz w:val="32"/>
          <w:szCs w:val="32"/>
        </w:rPr>
        <w:t>万元，比2023年年初预算数</w:t>
      </w:r>
      <w:r>
        <w:rPr>
          <w:rFonts w:ascii="仿宋_GB2312" w:eastAsia="仿宋_GB2312"/>
          <w:sz w:val="32"/>
          <w:szCs w:val="32"/>
        </w:rPr>
        <w:t>0.00</w:t>
      </w:r>
      <w:r>
        <w:rPr>
          <w:rFonts w:hint="eastAsia" w:ascii="仿宋_GB2312" w:eastAsia="仿宋_GB2312"/>
          <w:sz w:val="32"/>
          <w:szCs w:val="32"/>
        </w:rPr>
        <w:t>万元增加0</w:t>
      </w:r>
      <w:r>
        <w:rPr>
          <w:rFonts w:ascii="仿宋_GB2312" w:eastAsia="仿宋_GB2312"/>
          <w:sz w:val="32"/>
          <w:szCs w:val="32"/>
        </w:rPr>
        <w:t>.00</w:t>
      </w:r>
      <w:r>
        <w:rPr>
          <w:rFonts w:hint="eastAsia" w:ascii="仿宋_GB2312" w:eastAsia="仿宋_GB2312"/>
          <w:sz w:val="32"/>
          <w:szCs w:val="32"/>
        </w:rPr>
        <w:t>万元。公务用车运行维护费2024年预算数</w:t>
      </w:r>
      <w:r>
        <w:rPr>
          <w:rFonts w:ascii="仿宋_GB2312" w:eastAsia="仿宋_GB2312"/>
          <w:sz w:val="32"/>
          <w:szCs w:val="32"/>
        </w:rPr>
        <w:t>2.47</w:t>
      </w:r>
      <w:r>
        <w:rPr>
          <w:rFonts w:hint="eastAsia" w:ascii="仿宋_GB2312" w:eastAsia="仿宋_GB2312"/>
          <w:sz w:val="32"/>
          <w:szCs w:val="32"/>
        </w:rPr>
        <w:t>万元，其中：公务用车燃油1.</w:t>
      </w:r>
      <w:r>
        <w:rPr>
          <w:rFonts w:ascii="仿宋_GB2312" w:eastAsia="仿宋_GB2312"/>
          <w:sz w:val="32"/>
          <w:szCs w:val="32"/>
        </w:rPr>
        <w:t>29</w:t>
      </w:r>
      <w:r>
        <w:rPr>
          <w:rFonts w:hint="eastAsia" w:ascii="仿宋_GB2312" w:eastAsia="仿宋_GB2312"/>
          <w:sz w:val="32"/>
          <w:szCs w:val="32"/>
        </w:rPr>
        <w:t>万元，公务用车维修0.4</w:t>
      </w:r>
      <w:r>
        <w:rPr>
          <w:rFonts w:ascii="仿宋_GB2312" w:eastAsia="仿宋_GB2312"/>
          <w:sz w:val="32"/>
          <w:szCs w:val="32"/>
        </w:rPr>
        <w:t>3</w:t>
      </w:r>
      <w:r>
        <w:rPr>
          <w:rFonts w:hint="eastAsia" w:ascii="仿宋_GB2312" w:eastAsia="仿宋_GB2312"/>
          <w:sz w:val="32"/>
          <w:szCs w:val="32"/>
        </w:rPr>
        <w:t>万元，公务用车保险0.4</w:t>
      </w:r>
      <w:r>
        <w:rPr>
          <w:rFonts w:ascii="仿宋_GB2312" w:eastAsia="仿宋_GB2312"/>
          <w:sz w:val="32"/>
          <w:szCs w:val="32"/>
        </w:rPr>
        <w:t>3</w:t>
      </w:r>
      <w:r>
        <w:rPr>
          <w:rFonts w:hint="eastAsia" w:ascii="仿宋_GB2312" w:eastAsia="仿宋_GB2312"/>
          <w:sz w:val="32"/>
          <w:szCs w:val="32"/>
        </w:rPr>
        <w:t>万元，其他支出0.3</w:t>
      </w:r>
      <w:r>
        <w:rPr>
          <w:rFonts w:ascii="仿宋_GB2312" w:eastAsia="仿宋_GB2312"/>
          <w:sz w:val="32"/>
          <w:szCs w:val="32"/>
        </w:rPr>
        <w:t>2</w:t>
      </w:r>
      <w:r>
        <w:rPr>
          <w:rFonts w:hint="eastAsia" w:ascii="仿宋_GB2312" w:eastAsia="仿宋_GB2312"/>
          <w:sz w:val="32"/>
          <w:szCs w:val="32"/>
        </w:rPr>
        <w:t>万元。公务用车运行维护费2024年预算数比2023年年初预算数</w:t>
      </w:r>
      <w:r>
        <w:rPr>
          <w:rFonts w:ascii="仿宋_GB2312" w:eastAsia="仿宋_GB2312"/>
          <w:sz w:val="32"/>
          <w:szCs w:val="32"/>
        </w:rPr>
        <w:t>2.47</w:t>
      </w:r>
      <w:r>
        <w:rPr>
          <w:rFonts w:hint="eastAsia" w:ascii="仿宋_GB2312" w:eastAsia="仿宋_GB2312"/>
          <w:sz w:val="32"/>
          <w:szCs w:val="32"/>
        </w:rPr>
        <w:t>万元减少</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widowControl/>
        <w:ind w:firstLine="640" w:firstLineChars="200"/>
        <w:rPr>
          <w:rFonts w:ascii="仿宋_GB2312" w:eastAsia="仿宋_GB2312"/>
          <w:sz w:val="32"/>
          <w:szCs w:val="32"/>
        </w:rPr>
      </w:pPr>
      <w:r>
        <w:rPr>
          <w:rFonts w:hint="eastAsia" w:ascii="仿宋_GB2312" w:eastAsia="仿宋_GB2312"/>
          <w:sz w:val="32"/>
          <w:szCs w:val="32"/>
        </w:rPr>
        <w:t>2024年徐悲鸿纪念馆政府采购预算总额1,431.40万元，其中：政府采购货物预算0.90万元，政府采购工程预算157.9</w:t>
      </w:r>
      <w:r>
        <w:rPr>
          <w:rFonts w:ascii="仿宋_GB2312" w:eastAsia="仿宋_GB2312"/>
          <w:sz w:val="32"/>
          <w:szCs w:val="32"/>
        </w:rPr>
        <w:t>9</w:t>
      </w:r>
      <w:r>
        <w:rPr>
          <w:rFonts w:hint="eastAsia" w:ascii="仿宋_GB2312" w:eastAsia="仿宋_GB2312"/>
          <w:sz w:val="32"/>
          <w:szCs w:val="32"/>
        </w:rPr>
        <w:t>万元，政府采购服务预算1,272.51万元。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2024年徐悲鸿</w:t>
      </w:r>
      <w:r>
        <w:rPr>
          <w:rFonts w:ascii="仿宋_GB2312" w:eastAsia="仿宋_GB2312"/>
          <w:color w:val="000000"/>
          <w:sz w:val="32"/>
          <w:szCs w:val="32"/>
        </w:rPr>
        <w:t>纪念馆</w:t>
      </w:r>
      <w:r>
        <w:rPr>
          <w:rFonts w:hint="eastAsia" w:ascii="仿宋_GB2312" w:eastAsia="仿宋_GB2312"/>
          <w:color w:val="000000"/>
          <w:sz w:val="32"/>
          <w:szCs w:val="32"/>
        </w:rPr>
        <w:t>政府购买服务预算总额</w:t>
      </w:r>
      <w:r>
        <w:rPr>
          <w:rFonts w:ascii="仿宋_GB2312" w:eastAsia="仿宋_GB2312"/>
          <w:color w:val="000000"/>
          <w:sz w:val="32"/>
          <w:szCs w:val="32"/>
        </w:rPr>
        <w:t>0.00</w:t>
      </w:r>
      <w:r>
        <w:rPr>
          <w:rFonts w:hint="eastAsia" w:ascii="仿宋_GB2312" w:eastAsia="仿宋_GB2312"/>
          <w:color w:val="000000"/>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2024年徐悲鸿纪念馆单位</w:t>
      </w:r>
      <w:r>
        <w:rPr>
          <w:rFonts w:ascii="仿宋_GB2312" w:eastAsia="仿宋_GB2312"/>
          <w:sz w:val="32"/>
          <w:szCs w:val="32"/>
        </w:rPr>
        <w:t>0</w:t>
      </w:r>
      <w:r>
        <w:rPr>
          <w:rFonts w:hint="eastAsia" w:ascii="仿宋_GB2312" w:eastAsia="仿宋_GB2312"/>
          <w:sz w:val="32"/>
          <w:szCs w:val="32"/>
        </w:rPr>
        <w:t>家行政单位以及</w:t>
      </w:r>
      <w:r>
        <w:rPr>
          <w:rFonts w:ascii="仿宋_GB2312" w:eastAsia="仿宋_GB2312"/>
          <w:sz w:val="32"/>
          <w:szCs w:val="32"/>
        </w:rPr>
        <w:t>0</w:t>
      </w:r>
      <w:r>
        <w:rPr>
          <w:rFonts w:hint="eastAsia" w:ascii="仿宋_GB2312" w:eastAsia="仿宋_GB2312"/>
          <w:sz w:val="32"/>
          <w:szCs w:val="32"/>
        </w:rPr>
        <w:t>等</w:t>
      </w:r>
      <w:r>
        <w:rPr>
          <w:rFonts w:ascii="仿宋_GB2312" w:eastAsia="仿宋_GB2312"/>
          <w:sz w:val="32"/>
          <w:szCs w:val="32"/>
        </w:rPr>
        <w:t>0</w:t>
      </w:r>
      <w:r>
        <w:rPr>
          <w:rFonts w:hint="eastAsia" w:ascii="仿宋_GB2312" w:eastAsia="仿宋_GB2312"/>
          <w:sz w:val="32"/>
          <w:szCs w:val="32"/>
        </w:rPr>
        <w:t>家参公管理事业单位的机关运行经费财政拨款预算</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2024年，徐悲鸿纪念馆填报绩效目标的预算项目</w:t>
      </w:r>
      <w:r>
        <w:rPr>
          <w:rFonts w:ascii="仿宋_GB2312" w:eastAsia="仿宋_GB2312"/>
          <w:sz w:val="32"/>
          <w:szCs w:val="32"/>
        </w:rPr>
        <w:t>6</w:t>
      </w:r>
      <w:r>
        <w:rPr>
          <w:rFonts w:hint="eastAsia" w:ascii="仿宋_GB2312" w:eastAsia="仿宋_GB2312"/>
          <w:sz w:val="32"/>
          <w:szCs w:val="32"/>
        </w:rPr>
        <w:t>个，占本单位本年预算项目</w:t>
      </w:r>
      <w:r>
        <w:rPr>
          <w:rFonts w:ascii="仿宋_GB2312" w:eastAsia="仿宋_GB2312"/>
          <w:sz w:val="32"/>
          <w:szCs w:val="32"/>
        </w:rPr>
        <w:t>6</w:t>
      </w:r>
      <w:r>
        <w:rPr>
          <w:rFonts w:hint="eastAsia" w:ascii="仿宋_GB2312" w:eastAsia="仿宋_GB2312"/>
          <w:sz w:val="32"/>
          <w:szCs w:val="32"/>
        </w:rPr>
        <w:t>个的</w:t>
      </w:r>
      <w:r>
        <w:rPr>
          <w:rFonts w:ascii="仿宋_GB2312" w:eastAsia="仿宋_GB2312"/>
          <w:sz w:val="32"/>
          <w:szCs w:val="32"/>
        </w:rPr>
        <w:t>100</w:t>
      </w:r>
      <w:r>
        <w:rPr>
          <w:rFonts w:hint="eastAsia" w:ascii="仿宋_GB2312" w:eastAsia="仿宋_GB2312"/>
          <w:sz w:val="32"/>
          <w:szCs w:val="32"/>
        </w:rPr>
        <w:t>%。填报绩效目标的项目支出预算</w:t>
      </w:r>
      <w:r>
        <w:rPr>
          <w:rFonts w:ascii="仿宋_GB2312" w:eastAsia="仿宋_GB2312"/>
          <w:sz w:val="32"/>
          <w:szCs w:val="32"/>
        </w:rPr>
        <w:t>505.00</w:t>
      </w:r>
      <w:r>
        <w:rPr>
          <w:rFonts w:hint="eastAsia" w:ascii="仿宋_GB2312" w:eastAsia="仿宋_GB2312"/>
          <w:sz w:val="32"/>
          <w:szCs w:val="32"/>
        </w:rPr>
        <w:t>万元，占本单位本年项目支出预算的</w:t>
      </w:r>
      <w:r>
        <w:rPr>
          <w:rFonts w:ascii="仿宋_GB2312" w:eastAsia="仿宋_GB2312"/>
          <w:sz w:val="32"/>
          <w:szCs w:val="32"/>
        </w:rPr>
        <w:t>100</w:t>
      </w:r>
      <w:r>
        <w:rPr>
          <w:rFonts w:hint="eastAsia" w:ascii="仿宋_GB2312"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tabs>
          <w:tab w:val="left" w:pos="1418"/>
        </w:tabs>
        <w:spacing w:line="560" w:lineRule="exact"/>
        <w:ind w:firstLine="800" w:firstLineChars="250"/>
        <w:rPr>
          <w:rFonts w:ascii="仿宋_GB2312" w:eastAsia="仿宋_GB2312"/>
          <w:color w:val="000000"/>
          <w:sz w:val="32"/>
          <w:szCs w:val="32"/>
        </w:rPr>
      </w:pPr>
      <w:r>
        <w:rPr>
          <w:rFonts w:hint="eastAsia" w:ascii="仿宋_GB2312" w:eastAsia="仿宋_GB2312" w:cs="Times New Roman"/>
          <w:sz w:val="32"/>
          <w:szCs w:val="32"/>
        </w:rPr>
        <w:t>本单位202</w:t>
      </w:r>
      <w:r>
        <w:rPr>
          <w:rFonts w:ascii="仿宋_GB2312" w:eastAsia="仿宋_GB2312" w:cs="Times New Roman"/>
          <w:sz w:val="32"/>
          <w:szCs w:val="32"/>
        </w:rPr>
        <w:t>4</w:t>
      </w:r>
      <w:r>
        <w:rPr>
          <w:rFonts w:hint="eastAsia" w:ascii="仿宋_GB2312" w:eastAsia="仿宋_GB2312" w:cs="Times New Roman"/>
          <w:sz w:val="32"/>
          <w:szCs w:val="32"/>
        </w:rPr>
        <w:t>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left="638" w:leftChars="304" w:firstLine="0" w:firstLineChars="0"/>
        <w:rPr>
          <w:rFonts w:ascii="仿宋_GB2312" w:eastAsia="仿宋_GB2312"/>
          <w:color w:val="000000"/>
          <w:sz w:val="32"/>
          <w:szCs w:val="32"/>
        </w:rPr>
      </w:pPr>
      <w:r>
        <w:rPr>
          <w:rFonts w:hint="eastAsia" w:ascii="仿宋_GB2312" w:eastAsia="仿宋_GB2312"/>
          <w:sz w:val="32"/>
          <w:szCs w:val="32"/>
        </w:rPr>
        <w:t>本单位2024</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截至2023年底，</w:t>
      </w:r>
      <w:r>
        <w:rPr>
          <w:rFonts w:hint="eastAsia" w:ascii="仿宋_GB2312" w:eastAsia="仿宋_GB2312"/>
          <w:sz w:val="32"/>
          <w:szCs w:val="32"/>
        </w:rPr>
        <w:t>徐悲鸿纪念馆</w:t>
      </w:r>
      <w:r>
        <w:rPr>
          <w:rFonts w:hint="eastAsia" w:ascii="仿宋_GB2312" w:eastAsia="仿宋_GB2312"/>
          <w:color w:val="000000"/>
          <w:sz w:val="32"/>
          <w:szCs w:val="32"/>
        </w:rPr>
        <w:t>共有车辆</w:t>
      </w:r>
      <w:r>
        <w:rPr>
          <w:rFonts w:ascii="仿宋_GB2312" w:eastAsia="仿宋_GB2312"/>
          <w:color w:val="000000"/>
          <w:sz w:val="32"/>
          <w:szCs w:val="32"/>
        </w:rPr>
        <w:t>1</w:t>
      </w:r>
      <w:r>
        <w:rPr>
          <w:rFonts w:hint="eastAsia" w:ascii="仿宋_GB2312" w:eastAsia="仿宋_GB2312"/>
          <w:color w:val="000000"/>
          <w:sz w:val="32"/>
          <w:szCs w:val="32"/>
        </w:rPr>
        <w:t>台，共计</w:t>
      </w:r>
      <w:r>
        <w:rPr>
          <w:rFonts w:ascii="仿宋_GB2312" w:eastAsia="仿宋_GB2312"/>
          <w:color w:val="000000"/>
          <w:sz w:val="32"/>
          <w:szCs w:val="32"/>
        </w:rPr>
        <w:t>18.27</w:t>
      </w:r>
      <w:r>
        <w:rPr>
          <w:rFonts w:hint="eastAsia" w:ascii="仿宋_GB2312" w:eastAsia="仿宋_GB2312"/>
          <w:color w:val="000000"/>
          <w:sz w:val="32"/>
          <w:szCs w:val="32"/>
        </w:rPr>
        <w:t>万元；单位价值50万元以上的设备</w:t>
      </w:r>
      <w:r>
        <w:rPr>
          <w:rFonts w:ascii="仿宋_GB2312" w:eastAsia="仿宋_GB2312"/>
          <w:color w:val="000000"/>
          <w:sz w:val="32"/>
          <w:szCs w:val="32"/>
        </w:rPr>
        <w:t>14</w:t>
      </w:r>
      <w:r>
        <w:rPr>
          <w:rFonts w:hint="eastAsia" w:ascii="仿宋_GB2312" w:eastAsia="仿宋_GB2312"/>
          <w:color w:val="000000"/>
          <w:sz w:val="32"/>
          <w:szCs w:val="32"/>
        </w:rPr>
        <w:t>台（套）、共计</w:t>
      </w:r>
      <w:r>
        <w:rPr>
          <w:rFonts w:hint="eastAsia" w:ascii="仿宋_GB2312" w:eastAsia="仿宋_GB2312"/>
          <w:sz w:val="32"/>
          <w:szCs w:val="32"/>
        </w:rPr>
        <w:t>12941.92</w:t>
      </w:r>
      <w:r>
        <w:rPr>
          <w:rFonts w:hint="eastAsia" w:ascii="仿宋_GB2312" w:eastAsia="仿宋_GB2312"/>
          <w:color w:val="000000"/>
          <w:sz w:val="32"/>
          <w:szCs w:val="32"/>
        </w:rPr>
        <w:t>万元。2024年预算安排中，购置单位价值50万元以上的设备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firstLineChars="200"/>
        <w:rPr>
          <w:rFonts w:ascii="仿宋_GB2312" w:eastAsia="仿宋_GB2312"/>
          <w:color w:val="000000"/>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2024年度单位预算报表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附件：徐悲鸿纪念馆2024年度单位预算报表</w:t>
      </w:r>
      <w:r>
        <w:rPr>
          <w:rFonts w:hint="eastAsia" w:ascii="仿宋_GB2312" w:eastAsia="仿宋_GB2312" w:cs="宋体"/>
          <w:color w:val="000000"/>
          <w:kern w:val="0"/>
          <w:sz w:val="32"/>
          <w:szCs w:val="32"/>
          <w:lang w:val="zh-CN"/>
        </w:rPr>
        <w:t xml:space="preserve"> </w:t>
      </w:r>
    </w:p>
    <w:p>
      <w:pPr>
        <w:spacing w:line="560" w:lineRule="exact"/>
        <w:rPr>
          <w:rFonts w:ascii="仿宋_GB2312" w:eastAsia="仿宋_GB2312"/>
          <w:color w:val="000000"/>
          <w:sz w:val="32"/>
          <w:szCs w:val="32"/>
        </w:rPr>
      </w:pPr>
    </w:p>
    <w:p>
      <w:pPr>
        <w:rPr>
          <w:rFonts w:ascii="仿宋_GB2312" w:eastAsia="仿宋_GB2312"/>
          <w:sz w:val="32"/>
          <w:szCs w:val="32"/>
        </w:rPr>
      </w:pPr>
      <w:bookmarkStart w:id="0" w:name="chaosong"/>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Arial Unicode MS"/>
    <w:panose1 w:val="00000000000000000000"/>
    <w:charset w:val="00"/>
    <w:family w:val="auto"/>
    <w:pitch w:val="default"/>
    <w:sig w:usb0="00000000" w:usb1="00000000" w:usb2="00000000" w:usb3="00000000" w:csb0="00040001" w:csb1="00000000"/>
  </w:font>
  <w:font w:name="Calibri Light">
    <w:panose1 w:val="020F0302020204030204"/>
    <w:charset w:val="00"/>
    <w:family w:val="swiss"/>
    <w:pitch w:val="default"/>
    <w:sig w:usb0="A00002EF" w:usb1="4000207B" w:usb2="00000000"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Arial Unicode MS"/>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pPr>
        <w:ind w:left="0" w:firstLine="0"/>
      </w:p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kNmUzNTBiZDgxY2UwMzdmMjllMWU3YjFkOGJiZWYifQ=="/>
  </w:docVars>
  <w:rsids>
    <w:rsidRoot w:val="00594F2A"/>
    <w:rsid w:val="002712E9"/>
    <w:rsid w:val="004423C7"/>
    <w:rsid w:val="004E72D4"/>
    <w:rsid w:val="0056311B"/>
    <w:rsid w:val="00577CD4"/>
    <w:rsid w:val="0059230E"/>
    <w:rsid w:val="00594F2A"/>
    <w:rsid w:val="006312E2"/>
    <w:rsid w:val="006446B1"/>
    <w:rsid w:val="00762E83"/>
    <w:rsid w:val="00792635"/>
    <w:rsid w:val="00804EC8"/>
    <w:rsid w:val="0083272E"/>
    <w:rsid w:val="00A4238F"/>
    <w:rsid w:val="00AA143C"/>
    <w:rsid w:val="00AE10E8"/>
    <w:rsid w:val="00BF3CB8"/>
    <w:rsid w:val="00C30202"/>
    <w:rsid w:val="00CF4F26"/>
    <w:rsid w:val="00D02927"/>
    <w:rsid w:val="00D119BB"/>
    <w:rsid w:val="00D50143"/>
    <w:rsid w:val="00D56332"/>
    <w:rsid w:val="00DF5477"/>
    <w:rsid w:val="00E911B3"/>
    <w:rsid w:val="00ED5809"/>
    <w:rsid w:val="00F53563"/>
    <w:rsid w:val="78D355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6"/>
    <w:unhideWhenUsed/>
    <w:qFormat/>
    <w:uiPriority w:val="0"/>
    <w:pPr>
      <w:keepNext/>
      <w:keepLines/>
      <w:spacing w:before="260" w:after="260" w:line="415" w:lineRule="auto"/>
      <w:outlineLvl w:val="1"/>
    </w:pPr>
    <w:rPr>
      <w:rFonts w:asciiTheme="majorHAnsi" w:hAnsiTheme="majorHAnsi" w:eastAsiaTheme="majorEastAsia" w:cstheme="majorBidi"/>
      <w:b/>
      <w:bCs/>
      <w:sz w:val="32"/>
      <w:szCs w:val="32"/>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Balloon Text"/>
    <w:basedOn w:val="1"/>
    <w:link w:val="8"/>
    <w:semiHidden/>
    <w:unhideWhenUsed/>
    <w:uiPriority w:val="99"/>
    <w:rPr>
      <w:sz w:val="18"/>
      <w:szCs w:val="18"/>
    </w:rPr>
  </w:style>
  <w:style w:type="character" w:customStyle="1" w:styleId="6">
    <w:name w:val="标题 2 Char"/>
    <w:basedOn w:val="5"/>
    <w:link w:val="2"/>
    <w:uiPriority w:val="0"/>
    <w:rPr>
      <w:rFonts w:asciiTheme="majorHAnsi" w:hAnsiTheme="majorHAnsi" w:eastAsiaTheme="majorEastAsia" w:cstheme="majorBidi"/>
      <w:b/>
      <w:bCs/>
      <w:sz w:val="32"/>
      <w:szCs w:val="32"/>
    </w:rPr>
  </w:style>
  <w:style w:type="paragraph" w:styleId="7">
    <w:name w:val="List Paragraph"/>
    <w:basedOn w:val="1"/>
    <w:qFormat/>
    <w:uiPriority w:val="34"/>
    <w:pPr>
      <w:ind w:firstLine="420" w:firstLineChars="200"/>
    </w:pPr>
  </w:style>
  <w:style w:type="character" w:customStyle="1" w:styleId="8">
    <w:name w:val="批注框文本 Char"/>
    <w:basedOn w:val="5"/>
    <w:link w:val="3"/>
    <w:semiHidden/>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517498971429438"/>
          <c:y val="0.0402046783625731"/>
          <c:w val="0.605827112930412"/>
          <c:h val="0.919590643274854"/>
        </c:manualLayout>
      </c:layout>
      <c:pieChart>
        <c:varyColors val="1"/>
        <c:ser>
          <c:idx val="0"/>
          <c:order val="0"/>
          <c:spPr/>
          <c:explosion val="0"/>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dPt>
          <c:dPt>
            <c:idx val="6"/>
            <c:bubble3D val="0"/>
            <c:spPr>
              <a:gradFill>
                <a:gsLst>
                  <a:gs pos="100000">
                    <a:schemeClr val="accent1">
                      <a:lumMod val="60000"/>
                      <a:lumMod val="60000"/>
                      <a:lumOff val="40000"/>
                    </a:schemeClr>
                  </a:gs>
                  <a:gs pos="0">
                    <a:schemeClr val="accent1">
                      <a:lumMod val="60000"/>
                    </a:schemeClr>
                  </a:gs>
                </a:gsLst>
                <a:lin ang="5400000" scaled="0"/>
              </a:gradFill>
              <a:ln w="19050">
                <a:solidFill>
                  <a:schemeClr val="lt1"/>
                </a:solidFill>
              </a:ln>
              <a:effectLst/>
            </c:spPr>
          </c:dPt>
          <c:dPt>
            <c:idx val="7"/>
            <c:bubble3D val="0"/>
            <c:spPr>
              <a:gradFill>
                <a:gsLst>
                  <a:gs pos="100000">
                    <a:schemeClr val="accent2">
                      <a:lumMod val="60000"/>
                      <a:lumMod val="60000"/>
                      <a:lumOff val="40000"/>
                    </a:schemeClr>
                  </a:gs>
                  <a:gs pos="0">
                    <a:schemeClr val="accent2">
                      <a:lumMod val="60000"/>
                    </a:schemeClr>
                  </a:gs>
                </a:gsLst>
                <a:lin ang="5400000" scaled="0"/>
              </a:gradFill>
              <a:ln w="19050">
                <a:solidFill>
                  <a:schemeClr val="lt1"/>
                </a:solidFill>
              </a:ln>
              <a:effectLst/>
            </c:spPr>
          </c:dPt>
          <c:dPt>
            <c:idx val="8"/>
            <c:bubble3D val="0"/>
            <c:spPr>
              <a:gradFill>
                <a:gsLst>
                  <a:gs pos="100000">
                    <a:schemeClr val="accent3">
                      <a:lumMod val="60000"/>
                      <a:lumMod val="60000"/>
                      <a:lumOff val="40000"/>
                    </a:schemeClr>
                  </a:gs>
                  <a:gs pos="0">
                    <a:schemeClr val="accent3">
                      <a:lumMod val="60000"/>
                    </a:schemeClr>
                  </a:gs>
                </a:gsLst>
                <a:lin ang="5400000" scaled="0"/>
              </a:gradFill>
              <a:ln w="19050">
                <a:solidFill>
                  <a:schemeClr val="lt1"/>
                </a:solidFill>
              </a:ln>
              <a:effectLst/>
            </c:spPr>
          </c:dPt>
          <c:dPt>
            <c:idx val="9"/>
            <c:bubble3D val="0"/>
            <c:spPr>
              <a:gradFill>
                <a:gsLst>
                  <a:gs pos="100000">
                    <a:schemeClr val="accent4">
                      <a:lumMod val="60000"/>
                      <a:lumMod val="60000"/>
                      <a:lumOff val="40000"/>
                    </a:schemeClr>
                  </a:gs>
                  <a:gs pos="0">
                    <a:schemeClr val="accent4">
                      <a:lumMod val="60000"/>
                    </a:schemeClr>
                  </a:gs>
                </a:gsLst>
                <a:lin ang="5400000" scaled="0"/>
              </a:gradFill>
              <a:ln w="19050">
                <a:solidFill>
                  <a:schemeClr val="lt1"/>
                </a:solidFill>
              </a:ln>
              <a:effectLst/>
            </c:spPr>
          </c:dPt>
          <c:dLbls>
            <c:dLbl>
              <c:idx val="1"/>
              <c:delete val="1"/>
            </c:dLbl>
            <c:dLbl>
              <c:idx val="2"/>
              <c:delete val="1"/>
            </c:dLbl>
            <c:dLbl>
              <c:idx val="3"/>
              <c:delete val="1"/>
            </c:dLbl>
            <c:dLbl>
              <c:idx val="4"/>
              <c:layout>
                <c:manualLayout>
                  <c:x val="-0.0467716978890889"/>
                  <c:y val="-0.0205794421833138"/>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5"/>
              <c:delete val="1"/>
            </c:dLbl>
            <c:dLbl>
              <c:idx val="6"/>
              <c:delete val="1"/>
            </c:dLbl>
            <c:dLbl>
              <c:idx val="7"/>
              <c:delete val="1"/>
            </c:dLbl>
            <c:dLbl>
              <c:idx val="8"/>
              <c:layout>
                <c:manualLayout>
                  <c:x val="0.0679003781288385"/>
                  <c:y val="-0.015520780779150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9"/>
              <c:delete val="1"/>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dk1">
                        <a:lumMod val="75000"/>
                        <a:lumOff val="25000"/>
                      </a:schemeClr>
                    </a:solidFill>
                    <a:latin typeface="+mn-lt"/>
                    <a:ea typeface="+mn-ea"/>
                    <a:cs typeface="+mn-cs"/>
                  </a:defRPr>
                </a:pPr>
              </a:p>
            </c:txPr>
            <c:dLblPos val="ctr"/>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Sheet1!$A$1:$A$10</c:f>
              <c:strCache>
                <c:ptCount val="10"/>
                <c:pt idx="0">
                  <c:v>1.一般公共预算拨款收入</c:v>
                </c:pt>
                <c:pt idx="1">
                  <c:v>2.政府性基金预算拨款收入</c:v>
                </c:pt>
                <c:pt idx="2">
                  <c:v>3.国有资本经营预算拨款收入</c:v>
                </c:pt>
                <c:pt idx="3">
                  <c:v>4.财政专户管理资金收入</c:v>
                </c:pt>
                <c:pt idx="4">
                  <c:v>5.事业收入</c:v>
                </c:pt>
                <c:pt idx="5">
                  <c:v>6.上级补助收入</c:v>
                </c:pt>
                <c:pt idx="6">
                  <c:v>7.附属单位上缴收入</c:v>
                </c:pt>
                <c:pt idx="7">
                  <c:v>8.事业单位经营收入</c:v>
                </c:pt>
                <c:pt idx="8">
                  <c:v>9.其他收</c:v>
                </c:pt>
                <c:pt idx="9">
                  <c:v>10.上年结转结余</c:v>
                </c:pt>
              </c:strCache>
            </c:strRef>
          </c:cat>
          <c:val>
            <c:numRef>
              <c:f>Sheet1!$B$1:$B$10</c:f>
              <c:numCache>
                <c:formatCode>0.00%</c:formatCode>
                <c:ptCount val="10"/>
                <c:pt idx="0">
                  <c:v>0.9967</c:v>
                </c:pt>
                <c:pt idx="1" c:formatCode="General">
                  <c:v>0</c:v>
                </c:pt>
                <c:pt idx="2" c:formatCode="General">
                  <c:v>0</c:v>
                </c:pt>
                <c:pt idx="3" c:formatCode="General">
                  <c:v>0</c:v>
                </c:pt>
                <c:pt idx="4">
                  <c:v>0.0032</c:v>
                </c:pt>
                <c:pt idx="5" c:formatCode="General">
                  <c:v>0</c:v>
                </c:pt>
                <c:pt idx="6" c:formatCode="General">
                  <c:v>0</c:v>
                </c:pt>
                <c:pt idx="7" c:formatCode="General">
                  <c:v>0</c:v>
                </c:pt>
                <c:pt idx="8">
                  <c:v>0.0001</c:v>
                </c:pt>
                <c:pt idx="9" c:formatCode="General">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dk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Sheet2!$A$1:$A$2</c:f>
              <c:strCache>
                <c:ptCount val="2"/>
                <c:pt idx="0">
                  <c:v>基本支出</c:v>
                </c:pt>
                <c:pt idx="1">
                  <c:v>项目支出</c:v>
                </c:pt>
              </c:strCache>
            </c:strRef>
          </c:cat>
          <c:val>
            <c:numRef>
              <c:f>Sheet2!$B$1:$B$2</c:f>
              <c:numCache>
                <c:formatCode>0.00%</c:formatCode>
                <c:ptCount val="2"/>
                <c:pt idx="0">
                  <c:v>0.830940220570125</c:v>
                </c:pt>
                <c:pt idx="1">
                  <c:v>0.169059779429875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423</Words>
  <Characters>2417</Characters>
  <Lines>20</Lines>
  <Paragraphs>5</Paragraphs>
  <TotalTime>406</TotalTime>
  <ScaleCrop>false</ScaleCrop>
  <LinksUpToDate>false</LinksUpToDate>
  <CharactersWithSpaces>2835</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2024-02-20T07:23:00Z</dcterms:created>
  <dc:creator>hp</dc:creator>
  <cp:lastModifiedBy>窦蓉</cp:lastModifiedBy>
  <cp:lastPrinted>2024-02-29T06:29:00Z</cp:lastPrinted>
  <dcterms:modified xsi:type="dcterms:W3CDTF">2024-03-04T02:29:49Z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4E4FCA3B61A944BFA779F579137AEF0E_12</vt:lpwstr>
  </property>
</Properties>
</file>