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北京市文物局</w:t>
      </w:r>
    </w:p>
    <w:p>
      <w:pPr>
        <w:adjustRightInd w:val="0"/>
        <w:snapToGrid w:val="0"/>
        <w:spacing w:line="360" w:lineRule="auto"/>
        <w:jc w:val="center"/>
        <w:outlineLvl w:val="0"/>
        <w:rPr>
          <w:rFonts w:asciiTheme="minorEastAsia" w:hAnsiTheme="minorEastAsia" w:eastAsiaTheme="minorEastAsia"/>
          <w:b/>
          <w:bCs/>
          <w:sz w:val="36"/>
          <w:szCs w:val="36"/>
        </w:rPr>
      </w:pPr>
      <w:r>
        <w:rPr>
          <w:rFonts w:hint="eastAsia" w:ascii="方正小标宋_GBK" w:hAnsi="方正小标宋_GBK" w:eastAsia="方正小标宋_GBK" w:cs="方正小标宋_GBK"/>
          <w:sz w:val="36"/>
          <w:szCs w:val="36"/>
        </w:rPr>
        <w:t>2022年度部门整体绩效评价报告</w:t>
      </w:r>
    </w:p>
    <w:p>
      <w:pPr>
        <w:pStyle w:val="9"/>
        <w:adjustRightInd w:val="0"/>
        <w:spacing w:line="360" w:lineRule="auto"/>
        <w:ind w:firstLine="360" w:firstLineChars="200"/>
      </w:pPr>
    </w:p>
    <w:p>
      <w:pPr>
        <w:adjustRightInd w:val="0"/>
        <w:snapToGrid w:val="0"/>
        <w:spacing w:line="360" w:lineRule="auto"/>
        <w:ind w:firstLine="640" w:firstLineChars="200"/>
        <w:rPr>
          <w:rFonts w:ascii="仿宋_GB2312" w:hAnsi="方正仿宋_GBK" w:eastAsia="仿宋_GB2312" w:cs="方正仿宋_GBK"/>
          <w:szCs w:val="30"/>
        </w:rPr>
      </w:pPr>
      <w:r>
        <w:rPr>
          <w:rFonts w:hint="eastAsia" w:ascii="仿宋_GB2312" w:hAnsi="方正仿宋_GBK" w:eastAsia="仿宋_GB2312" w:cs="方正仿宋_GBK"/>
          <w:kern w:val="0"/>
          <w:sz w:val="32"/>
          <w:szCs w:val="32"/>
        </w:rPr>
        <w:t>为进一步总结部门预算支出管理经验，检验财政支出预期目标实现程度，考核财政支出效率和综合效果，以进一步合理配置资源，优化支出结构，规范预算资金分配，提高财政资金的使用效益，为以后年度部门预算资金安排使用提供重要依据，根据《北京市财政局关于2023年推进全面实施预算绩效管理工作的通知》</w:t>
      </w:r>
      <w:r>
        <w:rPr>
          <w:rFonts w:hint="eastAsia" w:ascii="仿宋_GB2312" w:hAnsi="方正仿宋_GBK" w:eastAsia="仿宋_GB2312" w:cs="方正仿宋_GBK"/>
          <w:sz w:val="32"/>
          <w:szCs w:val="32"/>
        </w:rPr>
        <w:t>要求，</w:t>
      </w:r>
      <w:r>
        <w:rPr>
          <w:rFonts w:hint="eastAsia" w:ascii="仿宋_GB2312" w:hAnsi="方正仿宋_GBK" w:eastAsia="仿宋_GB2312" w:cs="方正仿宋_GBK"/>
          <w:kern w:val="0"/>
          <w:sz w:val="32"/>
          <w:szCs w:val="32"/>
        </w:rPr>
        <w:t>北京市文物局（以下简称“市文物局”）</w:t>
      </w:r>
      <w:r>
        <w:rPr>
          <w:rFonts w:hint="eastAsia" w:ascii="仿宋_GB2312" w:hAnsi="方正仿宋_GBK" w:eastAsia="仿宋_GB2312" w:cs="方正仿宋_GBK"/>
          <w:sz w:val="32"/>
          <w:szCs w:val="32"/>
        </w:rPr>
        <w:t>开展了2022年度部门整体绩效评价工作，并形成本绩效评价报告。</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1.机构设置情况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（1）内设机构情况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（2）所属机构情况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17个单位参加了2022年度部门决算，包括北京市文物局本级（含本级行政及本级事业）、首都博物馆（含老舍纪念馆、北京市白塔寺管理处、北京文博交流馆三个分支机构）、北京石刻艺术博物馆、徐悲鸿纪念馆、大钟寺古钟博物馆、北京艺术博物馆、北京古代建筑博物馆、北京市文物工程质量监督站、孔庙和国子监博物馆、北京市文物进出境鉴定所、北京市文博发展中心、北京市文物局综合事务中心、北京考古遗址博物馆、北京中轴线遗产保护中心（北京世界文化遗产监测中心）、北京大觉寺与团城管理处、北京市考古研究院（北京市文化遗产研究院）、北京中轴线申遗保护工作办公室（临时工作机构）等。</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2.职责工作任务情况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北京市文物局是负责本市文物和博物馆事业管理工作的市政府直属机构。上级业务主管部门为国家文物局。主要职责如下：</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（2）负责本市世界文化遗产和文物保护单位管理工作，会同有关部门负责历史文化名城（镇、村）保护和监督管理工作，研究提出文物保护单位保护范围和建设控制地带的意见。</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（3）指导本市博物馆的业务工作，组织博物馆间的交流与协作，负责博物馆馆藏文物鉴定、登记、借用、调拨和交换的管理工作。</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（4）负责本市的考古调查、勘探和发掘工作；会同有关部门研究提出保护地下文物埋藏区的意见；负责出土文物的调用。</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（5）负责管理本市民间收藏文物及其流通活动；培育、引导和扶持文物和博物馆领域相关产业健康发展。</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（6）负责本市文物和博物馆有关审核、审批事务及相关资质资格认定的管理工作。</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（7）依法负责本市文物行政执法工作，组织查处有关文物的违法违章案件；承担文物和博物馆安全工作的管理责任。</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（8）负责本市文物保护的宣传工作；组织与国（境）内外的文物交流和展示活动。</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（9）规划、指导本市文物和博物馆领域专业人员培训工作；组织文物和博物馆领域科学研究及交流、文物科学保护工作。</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（10）承办市政府交办的其他事项。</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为进一步加强部门预算绩效管理工作，按照绩效目标设置要求，编制形成了部门年度绩效目标申报表，目标设置与单位职能及2022年度工作计划相符，能够有效覆盖单位年度重点工作。具体指标设置情况如下。</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1.总体目标设立情况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是落实“十四五”规划的重要之年，全市文博工作将以习近平新时代中国特色社会主义思想为指导，立足首都“四个中心”城市战略定位，贯彻落实《北京市“十四五”时期文物博物馆事业发展规划》各项任务。以全国文化中心建设为重点，聚焦“一轴一城、两园三带、一区一中心”工作框架，不断提升文博领域治理效能：文博事业发展目标更加清晰；文物保护体系不断完善；“一城三带”文物保护空间格局深入人心；世界遗产、文物保护单位、大遗址、革命文物等各类文物保护机制不断健全；文物利用办法和途径更加多元；国家文物保护利用示范区建设正式开启；博物馆展览展示和文化创意产品开发提质增效；文物艺术品市场稳定繁荣；文物安全形势持续向好。</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2.具体绩效指标设定情况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围绕总体目标设立情况市文物局将具体指标按照博物馆行业管理、财务基础工作、档案、信息化管理及日常运维保障、机关党建、法律咨询及普法宣传、考古调查、勘探和发掘、世界文化遗产的申报及保护、文物安全、文物安全防护工程设计方案审核、文物保护和课题研究、文物拍卖监拍及文创产业发展、宣传活动、展览及活动、专项业务培训等方面进行细化成具体的产出、效益及满意度指标。</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二、当年预算执行情况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全年预算数201,144.79万元，其中，基本支出预算数45,642.31万元，项目支出预算数155,502.48万元，其他支出预算数0.00万元。资金总体支出88,710.29万元，其中，基本支出41,199.05万元，项目支出47,511.24万元，其他支出0.00万元。</w:t>
      </w:r>
      <w:r>
        <w:rPr>
          <w:rFonts w:hint="eastAsia" w:ascii="仿宋_GB2312" w:hAnsi="方正仿宋_GBK" w:eastAsia="仿宋_GB2312" w:cs="方正仿宋_GBK"/>
          <w:color w:val="auto"/>
          <w:kern w:val="0"/>
          <w:sz w:val="32"/>
          <w:szCs w:val="32"/>
        </w:rPr>
        <w:t>预算执行率为44%。</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三、整体绩效目标实现情况</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（一）产出完成情况分析</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1.产出数量</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2022年度市文物局积极落实市政府重点任务及部门年度重点工作，各项产出指标按计划完成，较好完成产出数量指标，具体完成情况如下：</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（1）持续推进全面从严治党</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压紧压实管党治党责任链条，坚持党建与业务深度融合，深化“五强”党支部建设，推进党支部标准化规范化建设。加强党务干部队伍建设，抓好年度基层党组织书记培训，强化日常工作督导。坚持严的总基调，一体推进</w:t>
      </w:r>
      <w:r>
        <w:rPr>
          <w:rFonts w:hint="eastAsia" w:ascii="仿宋_GB2312" w:hAnsi="方正仿宋_GBK" w:eastAsia="仿宋_GB2312" w:cs="方正仿宋_GBK"/>
          <w:color w:val="auto"/>
          <w:kern w:val="0"/>
          <w:sz w:val="32"/>
          <w:szCs w:val="32"/>
        </w:rPr>
        <w:t>不敢腐</w:t>
      </w:r>
      <w:r>
        <w:rPr>
          <w:rFonts w:hint="eastAsia" w:ascii="仿宋_GB2312" w:hAnsi="方正仿宋_GBK" w:eastAsia="仿宋_GB2312" w:cs="方正仿宋_GBK"/>
          <w:color w:val="auto"/>
          <w:kern w:val="0"/>
          <w:sz w:val="32"/>
          <w:szCs w:val="32"/>
          <w:lang w:eastAsia="zh-CN"/>
        </w:rPr>
        <w:t>、</w:t>
      </w:r>
      <w:r>
        <w:rPr>
          <w:rFonts w:hint="eastAsia" w:ascii="仿宋_GB2312" w:hAnsi="方正仿宋_GBK" w:eastAsia="仿宋_GB2312" w:cs="方正仿宋_GBK"/>
          <w:color w:val="auto"/>
          <w:kern w:val="0"/>
          <w:sz w:val="32"/>
          <w:szCs w:val="32"/>
        </w:rPr>
        <w:t>不能腐</w:t>
      </w:r>
      <w:r>
        <w:rPr>
          <w:rFonts w:hint="eastAsia" w:ascii="仿宋_GB2312" w:hAnsi="方正仿宋_GBK" w:eastAsia="仿宋_GB2312" w:cs="方正仿宋_GBK"/>
          <w:color w:val="auto"/>
          <w:kern w:val="0"/>
          <w:sz w:val="32"/>
          <w:szCs w:val="32"/>
          <w:lang w:eastAsia="zh-CN"/>
        </w:rPr>
        <w:t>、</w:t>
      </w:r>
      <w:r>
        <w:rPr>
          <w:rFonts w:hint="eastAsia" w:ascii="仿宋_GB2312" w:hAnsi="方正仿宋_GBK" w:eastAsia="仿宋_GB2312" w:cs="方正仿宋_GBK"/>
          <w:color w:val="auto"/>
          <w:kern w:val="0"/>
          <w:sz w:val="32"/>
          <w:szCs w:val="32"/>
        </w:rPr>
        <w:t>不想腐，</w:t>
      </w:r>
      <w:r>
        <w:rPr>
          <w:rFonts w:hint="eastAsia" w:ascii="仿宋_GB2312" w:hAnsi="方正仿宋_GBK" w:eastAsia="仿宋_GB2312" w:cs="方正仿宋_GBK"/>
          <w:kern w:val="0"/>
          <w:sz w:val="32"/>
          <w:szCs w:val="32"/>
        </w:rPr>
        <w:t>锲而不舍加强作风建设，始终坚持把纪律挺在前面，建设正气充盈的党内政治文化，持续涵养风清气正干事创业良好政治生态。努力克服疫情不利影响，在项目培训经费压减50%的情况下，开展第21期文博行业专业技术人员和管理人员培训以及局依法行政培训班的线上教学，共计完成11个班次、培训3000余人次，进一步提升培训质量效益。</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（2）深化理论武装</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充分发挥局党组理论学习中心组示范带动作用，2022年以来，组织局党组理论学习中心组集体学习14次，其中专题学习9次，交流研讨5次，培训5000人次。</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（3）充分发挥内审监督职能</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按照局党组指示要求，完成对局属8名事业单位负责人离任经济责任审计，通过审计手段发现单位管理方面的问题，督促整改落实，切实履行好推动文物和文博事业健康发展、建设忠诚干净担当的文博干部队伍的政治责任。</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（4）进一步加强文物宣传</w:t>
      </w:r>
    </w:p>
    <w:p>
      <w:pPr>
        <w:adjustRightInd w:val="0"/>
        <w:snapToGrid w:val="0"/>
        <w:spacing w:line="360" w:lineRule="auto"/>
        <w:ind w:firstLine="640" w:firstLineChars="200"/>
      </w:pPr>
      <w:r>
        <w:rPr>
          <w:rFonts w:hint="eastAsia" w:ascii="仿宋_GB2312" w:hAnsi="方正仿宋_GBK" w:eastAsia="仿宋_GB2312" w:cs="方正仿宋_GBK"/>
          <w:kern w:val="0"/>
          <w:sz w:val="32"/>
          <w:szCs w:val="32"/>
        </w:rPr>
        <w:t>策划重点宣传活动，不断加强行业的影响力，围绕“一轴一城、两园三带、一区一中心”重点工作框架，做好三个文化节、公众考古季、一城三带、金中都建都870周年等活动的宣传策划工作，圆满完成2022年5.18国际博物馆日宣传活动，广泛吸引公众参与。</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（5）积极策划举办展览及文化活动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根据市委宣传部相关工作要求及安排，继续加大文化服务供给，组织北京地区博物馆围绕春节、冬奥、清明、端午、暑假等传统节日及重要时间节点，策划和举办展览及文化活动。据不完全统计，本年度全市博物馆共举办展览和活动400余项，其中展览133项，活动267项。</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（6）高度重视文物安全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组织完成对局属单位安全检查每季度一次，电气防火检测和建筑消防设施检测每半年一次，检测局系统文物保护单位数量18家，检测面积12116.75平方米。组织对15个局属单位2021年安全生产和消防工作进行考核，考核结果9个单位为优秀、6个单位为良好，通过考核压紧压实主体责任，查找存在的问题和不足，分析原因及教训，夯实安全基础。</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（7）积极推动文物市场健康发展</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引导带动文物拍卖市场活跃发展。2022年共审批2700余场文物拍卖会、13万余件/套文物标的，成交额约65亿元。其中，线下文物拍卖会80余场、同比基本持平；线上文物拍卖会</w:t>
      </w:r>
      <w:r>
        <w:rPr>
          <w:rFonts w:hint="eastAsia" w:ascii="仿宋_GB2312" w:hAnsi="方正仿宋_GBK" w:eastAsia="仿宋_GB2312" w:cs="方正仿宋_GBK"/>
          <w:color w:val="auto"/>
          <w:kern w:val="0"/>
          <w:sz w:val="32"/>
          <w:szCs w:val="32"/>
        </w:rPr>
        <w:t>在</w:t>
      </w:r>
      <w:r>
        <w:rPr>
          <w:rFonts w:hint="eastAsia" w:ascii="仿宋_GB2312" w:hAnsi="方正仿宋_GBK" w:eastAsia="仿宋_GB2312" w:cs="方正仿宋_GBK"/>
          <w:color w:val="auto"/>
          <w:kern w:val="0"/>
          <w:sz w:val="32"/>
          <w:szCs w:val="32"/>
          <w:lang w:eastAsia="zh-CN"/>
        </w:rPr>
        <w:t>各方</w:t>
      </w:r>
      <w:r>
        <w:rPr>
          <w:rFonts w:hint="eastAsia" w:ascii="仿宋_GB2312" w:hAnsi="方正仿宋_GBK" w:eastAsia="仿宋_GB2312" w:cs="方正仿宋_GBK"/>
          <w:color w:val="auto"/>
          <w:kern w:val="0"/>
          <w:sz w:val="32"/>
          <w:szCs w:val="32"/>
        </w:rPr>
        <w:t>大力支持带动下高</w:t>
      </w:r>
      <w:r>
        <w:rPr>
          <w:rFonts w:hint="eastAsia" w:ascii="仿宋_GB2312" w:hAnsi="方正仿宋_GBK" w:eastAsia="仿宋_GB2312" w:cs="方正仿宋_GBK"/>
          <w:kern w:val="0"/>
          <w:sz w:val="32"/>
          <w:szCs w:val="32"/>
        </w:rPr>
        <w:t>达2600余场、同比增长约66%，北京地区文物艺术品拍卖市场整体活跃度再创新高。持续汇聚文博文创优质资源。北京文博衍生品创新孵化中心平台始终积极发挥其资源集聚和公共服务优势，为推进文博单位文创产品开发提供强有力的支撑。本年度截至目前，平台共新增博物馆文物藏品素材采集700余件/套、文博文创设计作品1900余件/套，颁发数字版权登记证书600余件/套，平台企业及个人用户新增注册400余个，博物馆馆藏资源信息采集600件，网站核心功能完成阶段性技术升级。首都博物馆、孔庙和国子监博物馆、北京考古遗址博物馆、中国农业博物馆等多家文博单位通过平台与优质文创企业开展授权合作对接；北京市白塔寺管理处、北京石刻艺术博物馆、北京工艺美术博物馆、古陶文明博物馆等单位的数字文创及数字纪念票等文创作品在平台完成对接设计及发布，引发热潮。</w:t>
      </w:r>
    </w:p>
    <w:p>
      <w:pPr>
        <w:numPr>
          <w:ilvl w:val="0"/>
          <w:numId w:val="1"/>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文物保护和课题研究</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全力推进遗产保护规划编制报批，《八达岭长城保护规划》经国家文物局批复原则同意，目前已经市政府批准，待公布实施。《中国长城博物馆改造提升项目遗产影响评估报告》已向世界遗产组织报备，这是我国首次运用《实施〈世界遗产公约〉操作指南》第172条相关条款，主动向世界遗产组织上报遗产区划范围内的重大建设项目计划。继续推进《世界遗产在北京》手册的编制、修改工作。组织编制了《中国长城博物馆改造提升工程计划及遗产影响评估报告》，已报送至世界遗产组织；《北京博物馆之城建设发展规划》完成第一轮《北京博物馆之城建设发展规划》（征求意见稿）征求意见。</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2.产出质量</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lang w:eastAsia="zh-Hans"/>
        </w:rPr>
        <w:t>项目单位按照建设期初申报的绩效目标设定情况，各项产出质量指标得到实现，具体完成情况</w:t>
      </w:r>
      <w:r>
        <w:rPr>
          <w:rFonts w:hint="eastAsia" w:ascii="仿宋_GB2312" w:hAnsi="方正仿宋_GBK" w:eastAsia="仿宋_GB2312" w:cs="方正仿宋_GBK"/>
          <w:kern w:val="0"/>
          <w:sz w:val="32"/>
          <w:szCs w:val="32"/>
        </w:rPr>
        <w:t>实现情况为：</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文物拍卖监拍及文创产业发展方面：根据国家文物局《文物拍卖标的审核办法》第十九条关于“省级文物行政部门应以不少于10%的比例对文物拍卖会进行监拍”的规定，2017年市文物局启动了“北京市文物局拍卖会网络视频监拍”项目，利用互联网直播技术，在拍卖会现场采集拍卖图像及音频信号，通过技术手段将视频流实时同步展现到监视器终端，以达到同时对多场拍卖会实时监控。五年来，监拍工作发挥了对文物拍卖会的事中监管作用，维护了全市文物拍卖市场的稳定。</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（2）档案数字化管理方面：完成增量档案数字化服务和备份119619页，其中文书档案48121页，文保档案71498页含图纸，档案数字化准确率≥99.7%，提高了公文运转和档案归档效率。</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（3）财务基础工作：2022年按时完成了部门预决算编制工作，工作完成率100%。</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（4）专项业务培训方面：结合单位年度工作开展需要，通过组织开展形式多样的培训，进一步加强培训工作，培训合格率100%，培养造就高素质人才队伍。</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（5）文物安全方面：通过消防设施评估、电气检测、消防检测，消除了火险隐患，避免火灾事故的发生，评估覆盖率100%。</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rPr>
        <w:t>（6）遗址保护方面：</w:t>
      </w:r>
      <w:r>
        <w:rPr>
          <w:rFonts w:hint="eastAsia" w:ascii="仿宋_GB2312" w:hAnsi="方正仿宋_GBK" w:eastAsia="仿宋_GB2312" w:cs="方正仿宋_GBK"/>
          <w:kern w:val="0"/>
          <w:sz w:val="32"/>
          <w:szCs w:val="32"/>
          <w:lang w:eastAsia="zh-Hans"/>
        </w:rPr>
        <w:t>高度重视大遗址保护，加快琉璃河国家考古遗址公园建设，琉璃河遗址考古入选2022年北京文化论坛全国文化中心建设十件大事。《琉璃河遗址考古和研究工作计划（2022年-2025年）》获得国家文物局批复。</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lang w:eastAsia="zh-Hans"/>
        </w:rPr>
        <w:t>3.产出进度</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lang w:eastAsia="zh-Hans"/>
        </w:rPr>
        <w:t>根据部门整体产出目标完成情况分析，市委市政府重点工作及</w:t>
      </w:r>
      <w:r>
        <w:rPr>
          <w:rFonts w:hint="eastAsia" w:ascii="仿宋_GB2312" w:hAnsi="方正仿宋_GBK" w:eastAsia="仿宋_GB2312" w:cs="方正仿宋_GBK"/>
          <w:kern w:val="0"/>
          <w:sz w:val="32"/>
          <w:szCs w:val="32"/>
        </w:rPr>
        <w:t>市文物局</w:t>
      </w:r>
      <w:r>
        <w:rPr>
          <w:rFonts w:hint="eastAsia" w:ascii="仿宋_GB2312" w:hAnsi="方正仿宋_GBK" w:eastAsia="仿宋_GB2312" w:cs="方正仿宋_GBK"/>
          <w:kern w:val="0"/>
          <w:sz w:val="32"/>
          <w:szCs w:val="32"/>
          <w:lang w:eastAsia="zh-Hans"/>
        </w:rPr>
        <w:t>年度重点工作均按照计划要求完成。通过年度各项工作有序推进落实，有效保障了项目实施进度及产出时效性</w:t>
      </w:r>
      <w:r>
        <w:rPr>
          <w:rFonts w:hint="eastAsia" w:ascii="仿宋_GB2312" w:hAnsi="方正仿宋_GBK" w:eastAsia="仿宋_GB2312" w:cs="方正仿宋_GBK"/>
          <w:kern w:val="0"/>
          <w:sz w:val="32"/>
          <w:szCs w:val="32"/>
        </w:rPr>
        <w:t>，如：</w:t>
      </w:r>
      <w:r>
        <w:rPr>
          <w:rFonts w:hint="eastAsia" w:ascii="仿宋_GB2312" w:hAnsi="方正仿宋_GBK" w:eastAsia="仿宋_GB2312" w:cs="方正仿宋_GBK"/>
          <w:kern w:val="0"/>
          <w:sz w:val="32"/>
          <w:szCs w:val="32"/>
          <w:lang w:eastAsia="zh-Hans"/>
        </w:rPr>
        <w:t>预决算信息公开时点准确率</w:t>
      </w:r>
      <w:r>
        <w:rPr>
          <w:rFonts w:hint="eastAsia" w:ascii="仿宋_GB2312" w:hAnsi="方正仿宋_GBK" w:eastAsia="仿宋_GB2312" w:cs="方正仿宋_GBK"/>
          <w:kern w:val="0"/>
          <w:sz w:val="32"/>
          <w:szCs w:val="32"/>
        </w:rPr>
        <w:t>100%。</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4.产出成本</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rPr>
        <w:t>预算编制环节落实政府部门过“紧日子”的要求，提高项目规划水平，按照轻重缓急对项目进行排序，全年对148个项目开展预算评审工作，严格审核基础数据，对预算编报的准确性、合理性进行综合审查，审减资金超1200万元</w:t>
      </w:r>
      <w:r>
        <w:rPr>
          <w:rFonts w:hint="eastAsia" w:ascii="仿宋_GB2312" w:hAnsi="方正仿宋_GBK" w:eastAsia="仿宋_GB2312" w:cs="方正仿宋_GBK"/>
          <w:kern w:val="0"/>
          <w:sz w:val="32"/>
          <w:szCs w:val="32"/>
          <w:lang w:eastAsia="zh-Hans"/>
        </w:rPr>
        <w:t>。此外，为加强项目成本控制，降本增效，</w:t>
      </w:r>
      <w:r>
        <w:rPr>
          <w:rFonts w:hint="eastAsia" w:ascii="仿宋_GB2312" w:hAnsi="方正仿宋_GBK" w:eastAsia="仿宋_GB2312" w:cs="方正仿宋_GBK"/>
          <w:kern w:val="0"/>
          <w:sz w:val="32"/>
          <w:szCs w:val="32"/>
        </w:rPr>
        <w:t>市文物局</w:t>
      </w:r>
      <w:r>
        <w:rPr>
          <w:rFonts w:hint="eastAsia" w:ascii="仿宋_GB2312" w:hAnsi="方正仿宋_GBK" w:eastAsia="仿宋_GB2312" w:cs="方正仿宋_GBK"/>
          <w:kern w:val="0"/>
          <w:sz w:val="32"/>
          <w:szCs w:val="32"/>
          <w:lang w:eastAsia="zh-Hans"/>
        </w:rPr>
        <w:t>开展项目成本预算绩效分析工作，充分实现了项目成本的有效压减，部门整体成本控制情况较好。</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（二）效果实现情况分析</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lang w:eastAsia="zh-Hans"/>
        </w:rPr>
        <w:t>1.效益实现情况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（1）中轴线申遗保护工作取得新进展</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北京中轴线文化遗产保护条例》自10月1日起施行；中轴线价值内涵挖掘不断深入，成功举办“历史文化名城保护对话会”、北京中轴线文化遗产保护大家谈（TED）专家主题演讲、专家研讨会，建立“北京文化遗产对外传播中心”；万宁桥修缮已完成修缮方案调整，景山绮望楼、兴庆阁及院墙、谦祥益、天坛外坛墙和神乐署等文物修缮工程已基本完成，太庙、先农坛等文物修缮持续推进；研究制定《北京中轴线核心遗产点文物建筑整治提升工程工作方案》，组织管理使用单位对核心遗产点文物建筑进行保养维护和修缮；文物腾退及环境整治有序开展，改善了中轴线重点文物保护状况，申遗影响力进一步扩大。</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（2）“博物馆之城”建设呈现新气象</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9月初，市文物局与市财政局共同印发了《北京市社会力量兴办博物馆专项资金管理办法（暂行）》；开展类博物馆调研和培育工作，印发了《“类博物馆”开放培育试点工作实施方案》，推进“类博物馆”挂牌开放；推动北京博物馆之城建设发展规划编制，征求意见稿已进入文本细化和修改阶段；推进京津冀博物馆协同发展，成功举办“第四届京津冀博物馆优秀志愿讲解员邀请赛”，持续推进京津冀“博物馆进校园示范项目”；推进首都博物馆和大运河博物馆两馆展陈筹备工作。目前两馆基本陈列与专题展已形成大纲深化稿，正组织专家论证。将博物馆进校园活动常态化，拓展馆校协同育人的新机制。突出博物馆传统节日活动品牌，继续加大文化服务供给；组织北京地区博物馆围绕传统节日及重要时间节点，策划和举办展览及文化活动；继续倡导北京地区博物馆逢传统节日及其他重要时间节点提供延时开放服务，受疫情防控影响，本年度博物馆延时开放工作自7月份陆续开始，其中市文物局属博物馆北京白塔寺管理处的“白塔之夜”已成为品牌项目；圆满完成5.18国际博物馆日北京主会场活动“云启动式”等各项宣传活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（3）国家文化公园和文化带建设厚植新优势</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是大运河文化带建设按期推进，路县故城遗址保护展示工程全面实施，负一层结构全部完成，北京大运河博物馆（首博东馆）完成主体结构、二次结构施工。2022年北京（国际）运河文化节于8月8日开幕，文化节相关系列活动有序开展；“京杭对话”论坛方案策划编制工作初步完成，正在有序推进相关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是统筹推进长城文化带及长城国家文化公园建设。2022北京长城文化节于8月20日-29日成功举办，中国长城博物馆改造提升完成设计方案国际征集，评选出3个优胜方案，正在联合市规自委按程序上报市政府。西山永定河文化带建设重点任务推进顺利。</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是西山永定河文化带建设组2022年度折子工程重点任务进展整体顺利，2022北京西山永定河文化节活动取得圆满成功，海淀三山五园国家文物保护利用示范区创建取得实效。北京艺术博物馆（万寿寺）完成重修，对外开放。清华园车站旧址保护利用列入示范区创建任务，腾退、修缮、环境整治等各项工作正在有序推进。</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（4）革命文物保护传承利用工作扎实推进</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是重点工程稳步推进。国立蒙藏学校旧址文物保护修缮工程已完工，东、西院落共30座文物建筑恢复历史风貌，为展陈布设创造了良好条件。“进京赶考之路（北京段）”保护利用工作方案已经市推进全国文化中心建设领导小组专题会议审议通过。</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二是北京市第二批革命文物名录核定工作已基本完成，待近期提请市委宣传部部务会审议后正式向社会公布。</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三是《晋察冀革命文物保护利用片区工作规划》和《冀热辽革命文物保护利用片区工作规划》等编制任务有序推进。</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四是专项工作扎实推进。完成全国名碑名刻文物遴选推荐及碑刻石刻文物资源摸底调研、红色基因传承平台资料等主题活动申报，北京市重点革命文物数字化保护提升工程项目顺利推进，已完成双清别墅和北京大学红楼的外业数据采集和部分内业处理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（5）考古工作和大遗址保护展现新成就</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开展配合基本建设工程的考古调查项目235项，考古勘探项目149项，勘探面积948万平方米；考古发掘项目58项，发掘面积6.3万平方米。为城市副中心、北京大兴国际机场建设以及中轴线申遗、老城保护等工作提供有力支持。正阳桥遗址三期考古工作已进场实施，中轴线南段考古发现清代道路遗存。</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（6）国际文物艺术品交易中心形成新动能</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积极推动文物艺术品市场健康发展。截至目前，共审批2700余场文物拍卖会、13万余件/套文物标的，成交额约65亿元。北京地区文物艺术品拍卖市场整体活跃度再创新高。有序组织文物拍卖资质核查，组织开展2019—2021年文物拍卖资质核查工作，发布“北京指数”更和半年度报告。北京作为首善之区优势依旧显著，文物艺术品交易在全球处于核心地位，大众收藏市场交易明显活跃。</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有序推进博物馆文创工作深化开展。持续汇聚文博文创优质资源。北京文博衍生品创新孵化中心平台发挥其资源集聚和公共服务优势，为推进文博单位文创产品开发提供强有力的支撑。2022服贸会文旅服务专题文博文创展区活动于9月1日至9月5日成功举办，接待观众4万余人次，收获好评不断。</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（7）推进遗产保护与活化利用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全面加强世界文化遗产保护管理。高标准完成北京7处世界文化遗产2021年度监测报告审核上报工作。全力推进遗产保护规划编制报批，《八达岭长城保护规划》已经市政府批准。天坛、颐和园保护规划正在修改完善。十三陵保护完成文物保护规划与遗产保护规划二合一，深入对接镇域国土空间规划。《中国长城博物馆改造提升项目遗产影响评估报告》已向世界遗产组织报备。编制完成《世界遗产在北京》手册。</w:t>
      </w:r>
    </w:p>
    <w:p>
      <w:pPr>
        <w:numPr>
          <w:ilvl w:val="0"/>
          <w:numId w:val="2"/>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文物保护工程稳步推进。</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组织文物安全防护工程计划确认和方案评审，为文物保护工程项目实施提供支撑。2022年市级以上文物保护单位安全防护工程实施项目计划确认，各区申报计划50个，上报设计方案35个，其中转报国家文物局14个，完成方案审核19个。</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完成全市文物保护工程资质单位管理、资质审核年检、培训工作。配合国家文物局对各相关资质单位进行网上审批；完成北京市无障碍环境建设年度专项工作任务，落实局属博物馆无障碍设施的安装配备。</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加大保护区划工作推进力度。第十批文物保护单位保护范围及建设控制地带划定成果已经市政府常务会审议通过并印发；启动北京市文物保护单位保护范围及建设控制地带管理规定修订；启动第十一批文物保护单位保护范围及建设控制地带划定。</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持续摸清各级各类文物底数。补充、核对市级文物保护单位名录基础信息，上报国家文物局。</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守住文物安全底线，持续开展全市文物火灾隐患整治和消防能力提升三年行动。进一步加强对标准编制单位的监督指导。保障了文物安全及正常的开放秩序。</w:t>
      </w:r>
    </w:p>
    <w:p>
      <w:pPr>
        <w:numPr>
          <w:ilvl w:val="0"/>
          <w:numId w:val="2"/>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推进全局依法行政</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根据全市“八五”普法计划及年度普法依法治理工作要求结合实际工作需求，开展普法依法治理工作，制作完成《北京中轴线文化遗产保护条例》普法宣传动画；印制了《北京中轴线文化遗产保护条例》《北京公共文化服务设施条例》《北京名城保护条例》单行本，加强机关与局属事业单位外聘法律顾问的指导，认真抓实行政规范性文件及重大行政决策合法性审核，全年开展合同审核273件、重要咨询12件次。</w:t>
      </w:r>
    </w:p>
    <w:p>
      <w:pPr>
        <w:numPr>
          <w:ilvl w:val="0"/>
          <w:numId w:val="2"/>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加强全媒体时代公众传播工作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围绕革命文物、红色展览、先进榜样等题材，搭建全媒立体宣传平台，多种渠道宣传文物保护工作，传播正能量，全年组织新闻宣传35次，协调媒体采访102次。新媒体矩阵各账号微博发布1433条、微信发布1379条，今日头条客户端推送1383条，百家号推送1363条，累计阅读量2.83亿；抖音、快手发布295个短视频，累计278.3万人点击观看。市文物局在微博、微信公众号、今日头条、抖音、快手等政务新媒体平台回复公众关切问题134次。营造了广大社会公众关心、支持、参与文博事业发展的良好社会氛围。</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2.服务对象满意度</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北京市人民政府办公厅对市文物局绩效考评结果为95.98分，其中，日常考核58.68分，综合评价37.30分，考评等次为“优秀”。2022年度，市政府办公厅组织首都之窗和12345市民热线采取网上调查和电话访问的方式，对文物局进行了满意度调查，调查结果显示市文物局的综合满意度为92.41分。</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四、预算管理情况分析</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严格落实政府过“紧日子”要求，牢固树立零基预算理念，按照“保工资、保运转、保重点、控一般性支出、促高质量发展”的原则编制预算，严控预算追加和调剂，强化预算执行管理，严格落实预算绩效管理主体责任。</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（一）财务管理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1.财务管理制度健全性</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为进一步提高全局财务管理能力和水平，市文物局财务管理制度体系健全，包括《北京市文物局预算管理办法》《北京市文物局经费支出管理办法》等各项财务管理制度，</w:t>
      </w:r>
      <w:r>
        <w:rPr>
          <w:rFonts w:hint="eastAsia" w:ascii="仿宋" w:hAnsi="仿宋" w:eastAsia="仿宋"/>
          <w:sz w:val="32"/>
          <w:szCs w:val="32"/>
        </w:rPr>
        <w:t>按照</w:t>
      </w:r>
      <w:r>
        <w:rPr>
          <w:rFonts w:hint="eastAsia" w:ascii="仿宋_GB2312" w:eastAsia="仿宋_GB2312"/>
          <w:sz w:val="32"/>
          <w:szCs w:val="32"/>
        </w:rPr>
        <w:t>《市财政局关于细化部门政府购买服务负面清单的通知》（京财综[</w:t>
      </w:r>
      <w:r>
        <w:rPr>
          <w:rFonts w:ascii="仿宋_GB2312" w:eastAsia="仿宋_GB2312"/>
          <w:sz w:val="32"/>
          <w:szCs w:val="32"/>
        </w:rPr>
        <w:t>202</w:t>
      </w:r>
      <w:r>
        <w:rPr>
          <w:rFonts w:hint="eastAsia" w:ascii="仿宋_GB2312" w:eastAsia="仿宋_GB2312"/>
          <w:sz w:val="32"/>
          <w:szCs w:val="32"/>
        </w:rPr>
        <w:t>2</w:t>
      </w:r>
      <w:r>
        <w:rPr>
          <w:rFonts w:ascii="仿宋_GB2312" w:eastAsia="仿宋_GB2312"/>
          <w:sz w:val="32"/>
          <w:szCs w:val="32"/>
        </w:rPr>
        <w:t>]11</w:t>
      </w:r>
      <w:r>
        <w:rPr>
          <w:rFonts w:hint="eastAsia" w:ascii="仿宋_GB2312" w:eastAsia="仿宋_GB2312"/>
          <w:sz w:val="32"/>
          <w:szCs w:val="32"/>
        </w:rPr>
        <w:t>27号）要求</w:t>
      </w:r>
      <w:r>
        <w:rPr>
          <w:rFonts w:ascii="仿宋_GB2312" w:eastAsia="仿宋_GB2312"/>
          <w:sz w:val="32"/>
          <w:szCs w:val="32"/>
        </w:rPr>
        <w:t>，</w:t>
      </w:r>
      <w:r>
        <w:rPr>
          <w:rFonts w:hint="eastAsia" w:ascii="仿宋_GB2312" w:hAnsi="方正仿宋_GBK" w:eastAsia="仿宋_GB2312" w:cs="方正仿宋_GBK"/>
          <w:kern w:val="0"/>
          <w:sz w:val="32"/>
          <w:szCs w:val="32"/>
        </w:rPr>
        <w:t>编制《北京市文物局政府购买服务负面清单》，同时根据单位内部管理的发展变化情况或趋势以及在制度执行中存在的问题，及时修订、完善各项制度，使其建立在科学、合理、适用的基础上，保障财务管理工作规范化、制度化。</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2.资金使用合规性和安全性</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在资金审批方面，严格遵循“集体领导、民主集中、充分讨论、会议决定”的原则，落实重大支出集体研究制度，强化事前审批；在会计核算环节，加强支出审批控制，明确支出内部审批权限、程序、责任和相关控制措施，财务人员严格审批原始凭证，对未按本规定执行的、单据不全的、手续不完备的原始凭证以及未审批完成的经费支出业务拒绝办理，资金使用合规；在资金后续监管方面，内部审计和监督机制完善，为资金高效安全使用保驾护航。</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rPr>
        <w:t>3.</w:t>
      </w:r>
      <w:r>
        <w:rPr>
          <w:rFonts w:hint="eastAsia" w:ascii="仿宋_GB2312" w:hAnsi="方正仿宋_GBK" w:eastAsia="仿宋_GB2312" w:cs="方正仿宋_GBK"/>
          <w:kern w:val="0"/>
          <w:sz w:val="32"/>
          <w:szCs w:val="32"/>
          <w:lang w:eastAsia="zh-Hans"/>
        </w:rPr>
        <w:t>会计基础信息完善性</w:t>
      </w:r>
    </w:p>
    <w:p>
      <w:pPr>
        <w:adjustRightInd w:val="0"/>
        <w:snapToGrid w:val="0"/>
        <w:spacing w:line="360" w:lineRule="auto"/>
        <w:ind w:firstLine="640" w:firstLineChars="200"/>
        <w:rPr>
          <w:rFonts w:ascii="楷体_GB2312" w:eastAsia="楷体_GB2312"/>
          <w:sz w:val="32"/>
          <w:szCs w:val="32"/>
        </w:rPr>
      </w:pPr>
      <w:r>
        <w:rPr>
          <w:rFonts w:hint="eastAsia" w:ascii="仿宋_GB2312" w:hAnsi="方正仿宋_GBK" w:eastAsia="仿宋_GB2312" w:cs="方正仿宋_GBK"/>
          <w:kern w:val="0"/>
          <w:sz w:val="32"/>
          <w:szCs w:val="32"/>
        </w:rPr>
        <w:t>市文物局会计基础工作扎实，能够严格根据各类经济业务实际，按照《会计法》和《会计基础工作规范》等要求开展会计核算，保证了各项财务会计信息的真实、完整、准确。一是提升会计人员的专业性。不断加强会计人员的专业理论学习，熟悉和掌握其中的法律、法规、制度以及各类规定，使其不断更新业务知识，提高业务素质，扎扎实实地依法做好会计基础工作。二是保证原始凭证的规范性。不断强化原始凭证的格式、内容、填制方法、审核程序等的要求，符合会计制度要求；三是保障财务资料的完整性。会计凭证、会计账簿、会计报表和其他会计资料要按照国家规定定期整理归档，妥善保管，调阅和销毁符合规定</w:t>
      </w:r>
      <w:r>
        <w:rPr>
          <w:rFonts w:hint="eastAsia" w:ascii="楷体_GB2312" w:eastAsia="楷体_GB2312"/>
          <w:sz w:val="32"/>
          <w:szCs w:val="32"/>
        </w:rPr>
        <w:t>手续。</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（二）资产管理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为了加强固定资产管理，维护固定资产安全、完整，确保固定资产得到合理配置和有效使用，市文物局制定了《北京市文物局固定资产管理办法》，明确了固定资产配置、回收、处置等各环节资产管理要求，定期对资产进行清查盘点，做到账账、账卡、账实相符。</w:t>
      </w:r>
      <w:bookmarkStart w:id="2" w:name="_GoBack"/>
      <w:bookmarkEnd w:id="2"/>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（三）绩效管理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市文物局高度重视绩效管理工作，按照预算管理的流程，在预算编制、执行和监督各环节，做到事前事中事后全过程绩效管理。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一是加强绩效目标管理。按照市财政局要求，将2022年项目全部纳入绩效目标填报范围，完成了191个项目绩效目标申报表的审核及系统录入工作。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是开展事后绩效自评及事中绩效监控。2022年5月，对2021年度的192个项目实施了绩效评价（单位自评项目191个、部门评价项目1个），涉及金额52,512.19万元。2022年7月，对2022年193个项目开展绩效运行监控工作，绩效运行监控覆盖率100%，及时发现项目预算执行中存在的问题并进行调整和纠正。</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三是开展成本预算绩效分析。对档案数字化领域开展成本绩效分析工作，切实降低了项目的实施成本，节约了财政资金，同时探索了项目成本定额标准的制定。</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（四）结转结余率</w:t>
      </w:r>
    </w:p>
    <w:p>
      <w:pPr>
        <w:adjustRightInd w:val="0"/>
        <w:snapToGrid w:val="0"/>
        <w:spacing w:line="360" w:lineRule="auto"/>
        <w:ind w:firstLine="640" w:firstLineChars="200"/>
      </w:pPr>
      <w:r>
        <w:rPr>
          <w:rFonts w:hint="eastAsia" w:ascii="仿宋_GB2312" w:hAnsi="方正仿宋_GBK" w:eastAsia="仿宋_GB2312" w:cs="方正仿宋_GBK"/>
          <w:kern w:val="0"/>
          <w:sz w:val="32"/>
          <w:szCs w:val="32"/>
        </w:rPr>
        <w:t>2022年年末结转和结余112,317.27万元，占全年支出预算金额201,144.79万元的56%，其中：基本经费结转4,438.22万元，比上年2,047.85万元增加2,390.37万元，增加116.73%，主要是年末追加在职人员绩效工资，未形成当年支出；项目经费结转和结余107,879.05万元，比上年79,941.47万元增加27,937.58万元，增加34.96%，主要是考古研究院基建考古勘探发掘费历年结转，以及年中追加预算项目，包括首都博物馆本馆改陈、大运河博物馆（首都博物馆东馆）开办费、大葆台改扩建（基建）及中轴线遗产点环境整治等，因项目经费下达时间晚，未形成当年支出。</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（五）部门预决算差异率</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w:t>
      </w:r>
      <w:r>
        <w:rPr>
          <w:rFonts w:ascii="仿宋_GB2312" w:hAnsi="方正仿宋_GBK" w:eastAsia="仿宋_GB2312" w:cs="方正仿宋_GBK"/>
          <w:kern w:val="0"/>
          <w:sz w:val="32"/>
          <w:szCs w:val="32"/>
        </w:rPr>
        <w:t>2</w:t>
      </w:r>
      <w:r>
        <w:rPr>
          <w:rFonts w:hint="eastAsia" w:ascii="仿宋_GB2312" w:hAnsi="方正仿宋_GBK" w:eastAsia="仿宋_GB2312" w:cs="方正仿宋_GBK"/>
          <w:kern w:val="0"/>
          <w:sz w:val="32"/>
          <w:szCs w:val="32"/>
        </w:rPr>
        <w:t>年末决算收入201,165.86万元，较年初预算收入99,966.85万元增加101,199.01万元，部门预决算差异率为101%。主要是年中追加首都博物馆本馆改陈、大运河博物馆（首都博物馆东馆）开办费、大葆台改扩建（基建）及中轴线遗产点环境整治等项目经费29,660.85万元；考古院基建考古发掘费历年等结转结余73,527万元。</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五、总体评价结论</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（一）评价得分情况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本次部门整体绩效评价通过全面、客观的分析，按照北京市财政局2022年部门整体绩效评价指标体系要求确定评价结果，但因年中追加经费（京财科文指〔2022〕2704号，资金额度15，798.22万元）下达时间晚，当年未形成支出，影响了项目预算执行，因此自评环节，在评价预算执行率和结转结余率时剔除了该项因素后，确定我局2022年部门整体评价的最终得分85.40分，综合评价等级为“良”。其中：当年预算执行情况9.57分，整体绩效目标实现情况59.83分，预算管理情况16.00分。具体评分见附件《北京市文物局2022年部门整体绩效评价指标体系评分表》。</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（二）存在的问题及原因分析</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1.绩效目标设置方面</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通过本次评价工作开展发现，绩效目标设置方面尚有待进一步提升。</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一是部门整体绩效目标设置的科学性有待进一步研究、提高。主要因目标内容设置在覆盖单位职责、年度工作重点和财政预算绩效管理要求的目标设置要做到细化量化可衡量的要求之间平衡难度较大。</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二是个别项目（主要集中在宣传活动类项目）绩效目标指标设置准确性有待进一步提升。如新媒体快速传播覆盖，社会群众的关注度、点击量难以把控，指标设置难以准确把控。</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2.绩效实现方面</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绩效档案的归集尚需进一步完善，项目效果展现不够充分，尤其是满意度调查的针对性不强，如：在问卷设计方面，调查对象内容的针对性不强；在调查实施方面，未明确各类调查对象的占比情况，样本量较少，分析不够充分。</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六、措施建议</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（一）进一步强化预算绩效管理，提高绩效目标的编制质量</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部门整体绩效目标设置方面。一是对单位职能进行全面梳理；二是结合中长期规划和年度工作计划、政策要求等，明确年度主要工作任务；三是将单位职能与年度工作任务进行匹配，确定每项工作任务预计要达到的产出和效果，提炼预期实现程度的关键性指标；四是参考历史数据、行业标准、计划标准等，结合年度预算安排等情况，确定年度绩效指标值。</w:t>
      </w:r>
    </w:p>
    <w:p>
      <w:pPr>
        <w:pStyle w:val="5"/>
        <w:adjustRightInd w:val="0"/>
        <w:snapToGrid w:val="0"/>
        <w:spacing w:line="360" w:lineRule="auto"/>
        <w:ind w:firstLine="640"/>
        <w:rPr>
          <w:rFonts w:ascii="仿宋_GB2312" w:hAnsi="方正仿宋_GBK" w:eastAsia="仿宋_GB2312" w:cs="方正仿宋_GBK"/>
          <w:bCs/>
          <w:sz w:val="32"/>
          <w:szCs w:val="32"/>
        </w:rPr>
      </w:pPr>
      <w:r>
        <w:rPr>
          <w:rFonts w:hint="eastAsia" w:ascii="仿宋_GB2312" w:hAnsi="方正仿宋_GBK" w:eastAsia="仿宋_GB2312" w:cs="方正仿宋_GBK"/>
          <w:sz w:val="32"/>
          <w:szCs w:val="32"/>
        </w:rPr>
        <w:t>2.项目绩效目标设置方面。充分</w:t>
      </w:r>
      <w:r>
        <w:rPr>
          <w:rFonts w:hint="eastAsia" w:ascii="仿宋_GB2312" w:hAnsi="方正仿宋_GBK" w:eastAsia="仿宋_GB2312" w:cs="方正仿宋_GBK"/>
          <w:bCs/>
          <w:sz w:val="32"/>
          <w:szCs w:val="32"/>
        </w:rPr>
        <w:t>参考相关</w:t>
      </w:r>
      <w:r>
        <w:rPr>
          <w:rFonts w:hint="eastAsia" w:ascii="仿宋_GB2312" w:hAnsi="方正仿宋_GBK" w:eastAsia="仿宋_GB2312" w:cs="方正仿宋_GBK"/>
          <w:bCs/>
          <w:sz w:val="32"/>
          <w:szCs w:val="32"/>
          <w:lang w:eastAsia="zh-Hans"/>
        </w:rPr>
        <w:t>历年来项目执行情况汇总分析提炼</w:t>
      </w:r>
      <w:r>
        <w:rPr>
          <w:rFonts w:hint="eastAsia" w:ascii="仿宋_GB2312" w:hAnsi="方正仿宋_GBK" w:eastAsia="仿宋_GB2312" w:cs="方正仿宋_GBK"/>
          <w:bCs/>
          <w:sz w:val="32"/>
          <w:szCs w:val="32"/>
        </w:rPr>
        <w:t>设定</w:t>
      </w:r>
      <w:r>
        <w:rPr>
          <w:rFonts w:hint="eastAsia" w:ascii="仿宋_GB2312" w:hAnsi="方正仿宋_GBK" w:eastAsia="仿宋_GB2312" w:cs="方正仿宋_GBK"/>
          <w:bCs/>
          <w:sz w:val="32"/>
          <w:szCs w:val="32"/>
          <w:lang w:eastAsia="zh-Hans"/>
        </w:rPr>
        <w:t>绩效指标和指标值，同时</w:t>
      </w:r>
      <w:r>
        <w:rPr>
          <w:rFonts w:hint="eastAsia" w:ascii="仿宋_GB2312" w:hAnsi="方正仿宋_GBK" w:eastAsia="仿宋_GB2312" w:cs="方正仿宋_GBK"/>
          <w:bCs/>
          <w:sz w:val="32"/>
          <w:szCs w:val="32"/>
        </w:rPr>
        <w:t>指标值的设定要在考虑可实现性的基础上，尽量从严、从高设定，以充分发挥绩效目标对预算编制执行的引导约束和控制作用。</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（二）强化项目预算执行监管，保障财政资金使用效益</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加强项目计划与控制，根据当年市财政局对预算执行的进度要求，合理安排资金使用计划，执行过程中进一步加强项目过程监督，对项目绩效目标实现程度以及预算执行进度进行“双监控”，对项目实施内容与计划发生偏离的，要严格按照项目预算调整的程序履行调整、变更的程序。</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（三）进一步加强项目档案管理，充分展现实施效果</w:t>
      </w:r>
    </w:p>
    <w:p>
      <w:pPr>
        <w:adjustRightInd w:val="0"/>
        <w:snapToGrid w:val="0"/>
        <w:spacing w:line="360" w:lineRule="auto"/>
        <w:ind w:firstLine="640" w:firstLineChars="200"/>
        <w:rPr>
          <w:rFonts w:ascii="仿宋_GB2312" w:hAnsi="方正仿宋_GBK" w:eastAsia="仿宋_GB2312" w:cs="方正仿宋_GBK"/>
          <w:kern w:val="0"/>
          <w:sz w:val="32"/>
          <w:szCs w:val="32"/>
        </w:rPr>
      </w:pPr>
      <w:bookmarkStart w:id="0" w:name="_Toc103006301"/>
      <w:r>
        <w:rPr>
          <w:rFonts w:hint="eastAsia" w:ascii="仿宋_GB2312" w:hAnsi="方正仿宋_GBK" w:eastAsia="仿宋_GB2312" w:cs="方正仿宋_GBK"/>
          <w:kern w:val="0"/>
          <w:sz w:val="32"/>
          <w:szCs w:val="32"/>
        </w:rPr>
        <w:t>加强项目过程管理，做好管理留痕，积累管理资料，</w:t>
      </w:r>
      <w:r>
        <w:rPr>
          <w:rFonts w:hint="eastAsia" w:ascii="仿宋_GB2312" w:hAnsi="方正仿宋_GBK" w:eastAsia="仿宋_GB2312" w:cs="方正仿宋_GBK"/>
          <w:sz w:val="32"/>
          <w:szCs w:val="32"/>
        </w:rPr>
        <w:t>按照北京市预算绩效管理的要求建立“一个盒子”的管理模式，将项目管理立项、评审、批复、实施、验收、总结、绩效审计监督等全生命周期档案资料归集至项目档案盒内，做到“工作有记录、问题有反馈、成果有展示”。同时加强项目实施效果的总结分析能力，</w:t>
      </w:r>
      <w:r>
        <w:rPr>
          <w:rFonts w:hint="eastAsia" w:ascii="仿宋_GB2312" w:hAnsi="方正仿宋_GBK" w:eastAsia="仿宋_GB2312" w:cs="方正仿宋_GBK"/>
          <w:kern w:val="0"/>
          <w:sz w:val="32"/>
          <w:szCs w:val="32"/>
        </w:rPr>
        <w:t>结合项目实际情况对比分析项目实施前后年度所达到的成效及后续工作需要改进的方向，同时结合项目特点制定满意度调查方案，开展满意度调查工作，有效提高服务对象的满意度水平。</w:t>
      </w:r>
    </w:p>
    <w:p>
      <w:pPr>
        <w:adjustRightInd w:val="0"/>
        <w:snapToGrid w:val="0"/>
        <w:spacing w:line="360" w:lineRule="auto"/>
        <w:ind w:firstLine="640" w:firstLineChars="200"/>
        <w:outlineLvl w:val="1"/>
        <w:rPr>
          <w:rFonts w:ascii="楷体_GB2312" w:eastAsia="楷体_GB2312"/>
          <w:sz w:val="32"/>
          <w:szCs w:val="32"/>
        </w:rPr>
      </w:pPr>
      <w:bookmarkStart w:id="1" w:name="_Toc1901"/>
      <w:r>
        <w:rPr>
          <w:rFonts w:hint="eastAsia" w:ascii="楷体_GB2312" w:eastAsia="楷体_GB2312"/>
          <w:sz w:val="32"/>
          <w:szCs w:val="32"/>
        </w:rPr>
        <w:t>（四）进一步加强绩效成果应用，提高项目管理水平</w:t>
      </w:r>
      <w:bookmarkEnd w:id="1"/>
    </w:p>
    <w:p>
      <w:pPr>
        <w:adjustRightInd w:val="0"/>
        <w:snapToGrid w:val="0"/>
        <w:spacing w:line="360" w:lineRule="auto"/>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充分应用本次绩效自评结果，不断提高财政资金科学化、精细化管理水平，提高财政资金支出效益。具体措施如下：</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1.明确问题，强化整改。对于本次自评发现的绩效管理问题，充分重视，继续完善管理制度、改进管理措施</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2.总结经验，强化推广。注重后续的绩效评估和总结，形成能推广、可复制的经验，为持续深化基础工作奠定扎实的基础。</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七、附件</w:t>
      </w:r>
      <w:bookmarkEnd w:id="0"/>
    </w:p>
    <w:p>
      <w:pPr>
        <w:adjustRightInd w:val="0"/>
        <w:snapToGrid w:val="0"/>
        <w:spacing w:line="360" w:lineRule="auto"/>
        <w:ind w:firstLine="640" w:firstLineChars="200"/>
        <w:rPr>
          <w:rFonts w:ascii="仿宋_GB2312" w:hAnsi="方正仿宋_GBK" w:eastAsia="仿宋_GB2312" w:cs="方正仿宋_GBK"/>
          <w:sz w:val="32"/>
          <w:szCs w:val="32"/>
        </w:rPr>
        <w:sectPr>
          <w:footerReference r:id="rId3" w:type="default"/>
          <w:pgSz w:w="11906" w:h="16838"/>
          <w:pgMar w:top="1800" w:right="1440" w:bottom="1800" w:left="1440" w:header="851" w:footer="992" w:gutter="0"/>
          <w:cols w:space="425" w:num="1"/>
          <w:docGrid w:type="lines" w:linePitch="312" w:charSpace="0"/>
        </w:sectPr>
      </w:pPr>
      <w:r>
        <w:rPr>
          <w:rFonts w:hint="eastAsia" w:ascii="仿宋_GB2312" w:hAnsi="方正仿宋_GBK" w:eastAsia="仿宋_GB2312" w:cs="方正仿宋_GBK"/>
          <w:sz w:val="32"/>
          <w:szCs w:val="32"/>
        </w:rPr>
        <w:t>2022年部门整体绩效评价指标体系评分表</w:t>
      </w:r>
    </w:p>
    <w:p>
      <w:pPr>
        <w:adjustRightInd w:val="0"/>
        <w:snapToGrid w:val="0"/>
        <w:spacing w:line="360" w:lineRule="auto"/>
        <w:ind w:firstLine="640" w:firstLineChars="200"/>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w:t>
      </w:r>
    </w:p>
    <w:tbl>
      <w:tblPr>
        <w:tblStyle w:val="12"/>
        <w:tblW w:w="0" w:type="auto"/>
        <w:tblInd w:w="0" w:type="dxa"/>
        <w:tblLayout w:type="autofit"/>
        <w:tblCellMar>
          <w:top w:w="0" w:type="dxa"/>
          <w:left w:w="108" w:type="dxa"/>
          <w:bottom w:w="0" w:type="dxa"/>
          <w:right w:w="108" w:type="dxa"/>
        </w:tblCellMar>
      </w:tblPr>
      <w:tblGrid>
        <w:gridCol w:w="948"/>
        <w:gridCol w:w="915"/>
        <w:gridCol w:w="1202"/>
        <w:gridCol w:w="1571"/>
        <w:gridCol w:w="2297"/>
        <w:gridCol w:w="616"/>
        <w:gridCol w:w="716"/>
        <w:gridCol w:w="2561"/>
        <w:gridCol w:w="3348"/>
      </w:tblGrid>
      <w:tr>
        <w:tblPrEx>
          <w:tblCellMar>
            <w:top w:w="0" w:type="dxa"/>
            <w:left w:w="108" w:type="dxa"/>
            <w:bottom w:w="0" w:type="dxa"/>
            <w:right w:w="108" w:type="dxa"/>
          </w:tblCellMar>
        </w:tblPrEx>
        <w:trPr>
          <w:cantSplit/>
          <w:trHeight w:val="90" w:hRule="atLeast"/>
        </w:trPr>
        <w:tc>
          <w:tcPr>
            <w:tcW w:w="0" w:type="auto"/>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kern w:val="0"/>
                <w:sz w:val="44"/>
                <w:szCs w:val="44"/>
              </w:rPr>
            </w:pPr>
            <w:r>
              <w:rPr>
                <w:rFonts w:hint="eastAsia" w:ascii="宋体" w:hAnsi="宋体" w:cs="宋体"/>
                <w:kern w:val="0"/>
                <w:sz w:val="44"/>
                <w:szCs w:val="44"/>
              </w:rPr>
              <w:t>2022年部门整体绩效评价指标体系评分表</w:t>
            </w:r>
          </w:p>
        </w:tc>
      </w:tr>
      <w:tr>
        <w:tblPrEx>
          <w:tblCellMar>
            <w:top w:w="0" w:type="dxa"/>
            <w:left w:w="108" w:type="dxa"/>
            <w:bottom w:w="0" w:type="dxa"/>
            <w:right w:w="108" w:type="dxa"/>
          </w:tblCellMar>
        </w:tblPrEx>
        <w:trPr>
          <w:cantSplit/>
          <w:trHeight w:val="470" w:hRule="atLeast"/>
        </w:trPr>
        <w:tc>
          <w:tcPr>
            <w:tcW w:w="0" w:type="auto"/>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一、当年预算执行情况（20分）</w:t>
            </w:r>
          </w:p>
        </w:tc>
      </w:tr>
      <w:tr>
        <w:tblPrEx>
          <w:tblCellMar>
            <w:top w:w="0" w:type="dxa"/>
            <w:left w:w="108" w:type="dxa"/>
            <w:bottom w:w="0" w:type="dxa"/>
            <w:right w:w="108" w:type="dxa"/>
          </w:tblCellMar>
        </w:tblPrEx>
        <w:trPr>
          <w:trHeight w:val="658" w:hRule="atLeast"/>
        </w:trPr>
        <w:tc>
          <w:tcPr>
            <w:tcW w:w="0" w:type="auto"/>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　</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　</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预算数（万元）</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执行数（万元）</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预算执行率</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指标解释</w:t>
            </w:r>
          </w:p>
        </w:tc>
        <w:tc>
          <w:tcPr>
            <w:tcW w:w="3348"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630" w:hRule="atLeast"/>
        </w:trPr>
        <w:tc>
          <w:tcPr>
            <w:tcW w:w="0" w:type="auto"/>
            <w:vMerge w:val="restar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当年预算执行情况（20）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资金总体</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201,144.79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88,710.29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44%</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716"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9.57　</w:t>
            </w:r>
          </w:p>
        </w:tc>
        <w:tc>
          <w:tcPr>
            <w:tcW w:w="25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部门全年执行数与全年预算数的比率。资金总体=基本支出+项目支出+其他</w:t>
            </w:r>
          </w:p>
        </w:tc>
        <w:tc>
          <w:tcPr>
            <w:tcW w:w="334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①得分一档最高不能超过该指标分值上限（20分）。</w:t>
            </w:r>
            <w:r>
              <w:rPr>
                <w:rFonts w:hint="eastAsia" w:ascii="宋体" w:hAnsi="宋体" w:cs="宋体"/>
                <w:kern w:val="0"/>
                <w:sz w:val="20"/>
                <w:szCs w:val="20"/>
              </w:rPr>
              <w:br w:type="textWrapping"/>
            </w:r>
            <w:r>
              <w:rPr>
                <w:rFonts w:hint="eastAsia" w:ascii="宋体" w:hAnsi="宋体" w:cs="宋体"/>
                <w:kern w:val="0"/>
                <w:sz w:val="20"/>
                <w:szCs w:val="20"/>
              </w:rPr>
              <w:t>②特殊说明：2022年12月14日根据京财科文指【2022】2704号文件追加项目经费15798.22万元，影响项目预算执行，故本次预算执行得分测算时剔除预算数中该部分资金，得分测算如下：=预算执行数88,710.29万元/（实际预算数201,144.79万元-年底追加预算数15798.22万元）*该项指标分值20分=9.57分</w:t>
            </w:r>
          </w:p>
        </w:tc>
      </w:tr>
      <w:tr>
        <w:tblPrEx>
          <w:tblCellMar>
            <w:top w:w="0" w:type="dxa"/>
            <w:left w:w="108" w:type="dxa"/>
            <w:bottom w:w="0" w:type="dxa"/>
            <w:right w:w="108" w:type="dxa"/>
          </w:tblCellMar>
        </w:tblPrEx>
        <w:trPr>
          <w:cantSplit/>
          <w:trHeight w:val="60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基本支出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45,642.31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41,199.05　</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615"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项目支出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155,502.48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47,511.24 　</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2136"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其他</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0.00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0.00　</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gridSpan w:val="9"/>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二、整体绩效目标实现情况（60分）</w:t>
            </w:r>
          </w:p>
        </w:tc>
      </w:tr>
      <w:tr>
        <w:tblPrEx>
          <w:tblCellMar>
            <w:top w:w="0" w:type="dxa"/>
            <w:left w:w="108" w:type="dxa"/>
            <w:bottom w:w="0" w:type="dxa"/>
            <w:right w:w="108" w:type="dxa"/>
          </w:tblCellMar>
        </w:tblPrEx>
        <w:trPr>
          <w:trHeight w:val="499" w:hRule="atLeast"/>
        </w:trPr>
        <w:tc>
          <w:tcPr>
            <w:tcW w:w="0" w:type="auto"/>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指标值</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完成值</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Cs/>
                <w:kern w:val="0"/>
                <w:sz w:val="20"/>
                <w:szCs w:val="20"/>
              </w:rPr>
            </w:pPr>
            <w:r>
              <w:rPr>
                <w:rFonts w:hint="eastAsia" w:ascii="宋体" w:hAnsi="宋体" w:cs="宋体"/>
                <w:bCs/>
                <w:kern w:val="0"/>
                <w:sz w:val="20"/>
                <w:szCs w:val="20"/>
              </w:rPr>
              <w:t>指标解释</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663" w:hRule="atLeast"/>
        </w:trPr>
        <w:tc>
          <w:tcPr>
            <w:tcW w:w="0" w:type="auto"/>
            <w:vMerge w:val="restar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整体绩效目标实现情况（60）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产出（30）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 xml:space="preserve">产出数量 </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局属单位法人经济责任审计人数＝6名</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8名</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产出数量</w:t>
            </w:r>
            <w:r>
              <w:rPr>
                <w:rFonts w:hint="eastAsia" w:ascii="宋体" w:hAnsi="宋体" w:cs="宋体"/>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20"/>
                <w:szCs w:val="20"/>
              </w:rPr>
              <w:t>产出质量</w:t>
            </w:r>
            <w:r>
              <w:rPr>
                <w:rFonts w:hint="eastAsia" w:ascii="宋体" w:hAnsi="宋体" w:cs="宋体"/>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20"/>
                <w:szCs w:val="20"/>
              </w:rPr>
              <w:t>产出进度：</w:t>
            </w:r>
            <w:r>
              <w:rPr>
                <w:rFonts w:hint="eastAsia" w:ascii="宋体" w:hAnsi="宋体" w:cs="宋体"/>
                <w:kern w:val="0"/>
                <w:sz w:val="20"/>
                <w:szCs w:val="20"/>
              </w:rPr>
              <w:t>按时完成率=（按时完成工作数/实际完成工作数）×100%。按时完成工作数：部门（单位）按照整体绩效目标确定的时限实际完成的工作任务数量。</w:t>
            </w:r>
            <w:r>
              <w:rPr>
                <w:rFonts w:hint="eastAsia" w:ascii="宋体" w:hAnsi="宋体" w:cs="宋体"/>
                <w:b/>
                <w:bCs/>
                <w:kern w:val="0"/>
                <w:sz w:val="20"/>
                <w:szCs w:val="20"/>
              </w:rPr>
              <w:t>产出成本</w:t>
            </w:r>
            <w:r>
              <w:rPr>
                <w:rFonts w:hint="eastAsia" w:ascii="宋体" w:hAnsi="宋体" w:cs="宋体"/>
                <w:kern w:val="0"/>
                <w:sz w:val="20"/>
                <w:szCs w:val="20"/>
              </w:rPr>
              <w:t>：单位产出相对于上一年度的节约额；②单位产出相对于市场同类产出的节约额；③部门公用经费的控制情况。</w:t>
            </w:r>
          </w:p>
        </w:tc>
        <w:tc>
          <w:tcPr>
            <w:tcW w:w="334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51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培训班次数≥8次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14次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65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局党组理论中心组学习次数≥12次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11次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1.83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32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举办大型文化活动次数≥5次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3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检查次数＝2次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2次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37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文创产品版权登记数量≥200件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600件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67"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藏品信息采集数量≥200件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600件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515"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相关活动数量≥3场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267场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357"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提交调研报告≥6篇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6篇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99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培训人员数量≥1000人次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5000人次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产出</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产出质量</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线上拍卖会事中监管率≥50%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预决算编制完成率100%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档案数字化准确率≥99%</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99.7%</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线下拍卖会监拍抽取率≥10%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sz w:val="20"/>
                <w:szCs w:val="20"/>
              </w:rPr>
            </w:pPr>
            <w:r>
              <w:rPr>
                <w:rFonts w:hint="eastAsia" w:ascii="宋体" w:hAnsi="宋体" w:cs="宋体"/>
                <w:sz w:val="20"/>
                <w:szCs w:val="20"/>
              </w:rPr>
              <w:t>推进大遗址保护高质量发展</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进一步推进了大遗址保护高质量发展</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产出进度</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预决算信息公开时点准确率100%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产出成本</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both"/>
              <w:rPr>
                <w:rFonts w:ascii="宋体" w:hAnsi="宋体" w:cs="宋体"/>
                <w:sz w:val="20"/>
              </w:rPr>
            </w:pPr>
            <w:r>
              <w:rPr>
                <w:rFonts w:hint="eastAsia" w:ascii="宋体" w:hAnsi="宋体" w:cs="宋体"/>
                <w:sz w:val="20"/>
              </w:rPr>
              <w:t>年度预算控制数99,966.85万元</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88710.29　万元</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效果</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社会效益</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重要点段的险情隐患排查率≥99%</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经济效益</w:t>
            </w:r>
            <w:r>
              <w:rPr>
                <w:rFonts w:hint="eastAsia" w:ascii="宋体" w:hAnsi="宋体" w:cs="宋体"/>
                <w:kern w:val="0"/>
                <w:sz w:val="20"/>
                <w:szCs w:val="20"/>
              </w:rPr>
              <w:t>：部门（单位）履行职责对经济发展所带来的直接或间接影响。</w:t>
            </w:r>
            <w:r>
              <w:rPr>
                <w:rFonts w:hint="eastAsia" w:ascii="宋体" w:hAnsi="宋体" w:cs="宋体"/>
                <w:b/>
                <w:bCs/>
                <w:kern w:val="0"/>
                <w:sz w:val="20"/>
                <w:szCs w:val="20"/>
              </w:rPr>
              <w:t>社会效益</w:t>
            </w:r>
            <w:r>
              <w:rPr>
                <w:rFonts w:hint="eastAsia" w:ascii="宋体" w:hAnsi="宋体" w:cs="宋体"/>
                <w:kern w:val="0"/>
                <w:sz w:val="20"/>
                <w:szCs w:val="20"/>
              </w:rPr>
              <w:t>：部门（单位）履行职责对社会发展所带来的直接或间接影响。</w:t>
            </w:r>
            <w:r>
              <w:rPr>
                <w:rFonts w:hint="eastAsia" w:ascii="宋体" w:hAnsi="宋体" w:cs="宋体"/>
                <w:b/>
                <w:bCs/>
                <w:kern w:val="0"/>
                <w:sz w:val="20"/>
                <w:szCs w:val="20"/>
              </w:rPr>
              <w:t>环境效益</w:t>
            </w:r>
            <w:r>
              <w:rPr>
                <w:rFonts w:hint="eastAsia" w:ascii="宋体" w:hAnsi="宋体" w:cs="宋体"/>
                <w:kern w:val="0"/>
                <w:sz w:val="20"/>
                <w:szCs w:val="20"/>
              </w:rPr>
              <w:t>：部门（单位）履行职责对环境所带来的直接或间接影响。</w:t>
            </w:r>
            <w:r>
              <w:rPr>
                <w:rFonts w:hint="eastAsia" w:ascii="宋体" w:hAnsi="宋体" w:cs="宋体"/>
                <w:b/>
                <w:bCs/>
                <w:kern w:val="0"/>
                <w:sz w:val="20"/>
                <w:szCs w:val="20"/>
              </w:rPr>
              <w:t>可持续性影响：</w:t>
            </w:r>
            <w:r>
              <w:rPr>
                <w:rFonts w:hint="eastAsia" w:ascii="宋体" w:hAnsi="宋体" w:cs="宋体"/>
                <w:kern w:val="0"/>
                <w:sz w:val="20"/>
                <w:szCs w:val="20"/>
              </w:rPr>
              <w:t>部门绩效目标实现的长效机制建设情况，部门工作效率提升措施的创新。</w:t>
            </w:r>
            <w:r>
              <w:rPr>
                <w:rFonts w:hint="eastAsia" w:ascii="宋体" w:hAnsi="宋体" w:cs="宋体"/>
                <w:b/>
                <w:bCs/>
                <w:kern w:val="0"/>
                <w:sz w:val="20"/>
                <w:szCs w:val="20"/>
              </w:rPr>
              <w:t>服务对象满意度</w:t>
            </w:r>
            <w:r>
              <w:rPr>
                <w:rFonts w:hint="eastAsia" w:ascii="宋体" w:hAnsi="宋体" w:cs="宋体"/>
                <w:kern w:val="0"/>
                <w:sz w:val="20"/>
                <w:szCs w:val="20"/>
              </w:rPr>
              <w:t>：部门（单位）的服务对象对部门履职效果的满意程度。</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推进博物馆之城建设</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“博物馆之城”建设呈现新气象</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提升文物保护水平</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改善文物保护条件，守住文物安全底线</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提升示范区、西山永定河文化带建设水平</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海淀三山五园国家文物保护利用示范区创建取得实效；西山永定河文化带建设组2022年度折子工程重点任务进展整体顺利，2022北京西山永定河文化节活动取得圆满成功</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行业部门合同管理得到保障，文物保护法律意识得到提升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推进全局依法行政，开展普法宣传及法律咨询服务，保障了依法行政</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总体呈现全平台立体化的传播效果，营造广大社会公众关心、支持、参与文博事业发展的良好社会氛围。</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营造了广大社会公众关心、支持、参与文博事业发展的良好社会氛围。</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确保文物安全及正常的开放秩序</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保障了文物安全及正常开放</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为土地储备和保障房建设提供考古保障。</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2022年开展配合基本建设工程的考古调查项目235项，考古勘探项目149项，勘探面积948万平方米；考古发掘项目58项，发掘面积6.3万平方米。为城市副中心、北京大兴国际机场建设以及中轴线申遗、老城保护等工作提供有力支持。</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改善中轴线重点文物保护状况，扩大申遗影响力</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“北京中轴线”作为我国2024年世界文化遗产申报项目已获国家文物局推荐，改善了中轴线重点文物保护状况，申遗影响力进一步扩大。</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675"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rPr>
            </w:pPr>
            <w:r>
              <w:rPr>
                <w:rFonts w:hint="eastAsia" w:ascii="宋体" w:hAnsi="宋体" w:cs="宋体"/>
                <w:sz w:val="20"/>
              </w:rPr>
              <w:t>为文物保护工程项目实施提供支撑</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2022年市级以上文物保护单位安全防护工程实施项目计划确认，各区申报计划50个，上报设计方案35个，其中转报国家文物局14个，完成方案审核19个。为文物保护工程项目实施提供支撑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63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rPr>
            </w:pPr>
            <w:r>
              <w:rPr>
                <w:rFonts w:hint="eastAsia" w:ascii="宋体" w:hAnsi="宋体" w:cs="宋体"/>
                <w:sz w:val="20"/>
              </w:rPr>
              <w:t>配合开展基建考古</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2022年开展配合基本建设工程的考古调查项目235项，考古勘探项目149项，勘探面积948万平方米；考古发掘项目58项，发掘面积6.3万平方米。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87" w:hRule="atLeast"/>
        </w:trPr>
        <w:tc>
          <w:tcPr>
            <w:tcW w:w="0" w:type="auto"/>
            <w:gridSpan w:val="9"/>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三、预算管理情况（20分）</w:t>
            </w:r>
          </w:p>
        </w:tc>
      </w:tr>
      <w:tr>
        <w:tblPrEx>
          <w:tblCellMar>
            <w:top w:w="0" w:type="dxa"/>
            <w:left w:w="108" w:type="dxa"/>
            <w:bottom w:w="0" w:type="dxa"/>
            <w:right w:w="108" w:type="dxa"/>
          </w:tblCellMar>
        </w:tblPrEx>
        <w:trPr>
          <w:cantSplit/>
          <w:trHeight w:val="702" w:hRule="atLeast"/>
        </w:trPr>
        <w:tc>
          <w:tcPr>
            <w:tcW w:w="0" w:type="auto"/>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指标值</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完成值</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20"/>
                <w:szCs w:val="20"/>
              </w:rPr>
            </w:pPr>
            <w:r>
              <w:rPr>
                <w:rFonts w:hint="eastAsia" w:ascii="宋体" w:hAnsi="宋体" w:cs="宋体"/>
                <w:bCs/>
                <w:kern w:val="0"/>
                <w:sz w:val="20"/>
                <w:szCs w:val="20"/>
              </w:rPr>
              <w:t>指标解释</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1230" w:hRule="atLeast"/>
        </w:trPr>
        <w:tc>
          <w:tcPr>
            <w:tcW w:w="0" w:type="auto"/>
            <w:vMerge w:val="restar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预算管理情况（20）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财务管理（4）</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健全、完整、合规</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健全、完整、合规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财务管理制度健全性：</w:t>
            </w:r>
            <w:r>
              <w:rPr>
                <w:rFonts w:hint="eastAsia" w:ascii="宋体" w:hAnsi="宋体" w:cs="宋体"/>
                <w:kern w:val="0"/>
                <w:sz w:val="20"/>
                <w:szCs w:val="20"/>
              </w:rPr>
              <w:t>部门（单位）为加强财务管理、规范财务行为而制定的管理制度。</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资金使用合规性和安全性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合规、安全</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合规、安全</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资金使用合规性和安全性：</w:t>
            </w:r>
            <w:r>
              <w:rPr>
                <w:rFonts w:hint="eastAsia" w:ascii="宋体" w:hAnsi="宋体" w:cs="宋体"/>
                <w:kern w:val="0"/>
                <w:sz w:val="20"/>
                <w:szCs w:val="20"/>
              </w:rPr>
              <w:t>部门（单位）使用预算资金是否符合相关的预算财务管理制度的规定，是否符合相关规定的开支范围，用以反映考核部门（单位）预算资金的规范运行和安全运行情况。</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会计基础信息完善性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完整、准确</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完整、准确</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会计基础信息完善性：</w:t>
            </w:r>
            <w:r>
              <w:rPr>
                <w:rFonts w:hint="eastAsia" w:ascii="宋体" w:hAnsi="宋体" w:cs="宋体"/>
                <w:kern w:val="0"/>
                <w:sz w:val="20"/>
                <w:szCs w:val="20"/>
              </w:rPr>
              <w:t>部门（单位）会计基础信息情况。</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资产管理（4）</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资产管理规范性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规范</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规范</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资产管理规范性：</w:t>
            </w:r>
            <w:r>
              <w:rPr>
                <w:rFonts w:hint="eastAsia" w:ascii="宋体" w:hAnsi="宋体" w:cs="宋体"/>
                <w:kern w:val="0"/>
                <w:sz w:val="20"/>
                <w:szCs w:val="20"/>
              </w:rPr>
              <w:t>部门（单位）的资产是否保持安全完整，资产配置是否合理，资产使用和资产处理是否规范，用以反映和考核部门（单位）资产管理的整体水平。</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他资产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绩效管理（4）</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绩效管理情况</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及时、有效</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及时、有效</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绩效管理情况：</w:t>
            </w:r>
            <w:r>
              <w:rPr>
                <w:rFonts w:hint="eastAsia" w:ascii="宋体" w:hAnsi="宋体" w:cs="宋体"/>
                <w:kern w:val="0"/>
                <w:sz w:val="20"/>
                <w:szCs w:val="20"/>
              </w:rPr>
              <w:t>考核部门（单位）在绩效管理信息的汇总和应用情况。</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　</w:t>
            </w:r>
          </w:p>
        </w:tc>
        <w:tc>
          <w:tcPr>
            <w:tcW w:w="0" w:type="auto"/>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2021年</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2022年</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bCs/>
                <w:kern w:val="0"/>
                <w:sz w:val="20"/>
                <w:szCs w:val="20"/>
              </w:rPr>
              <w:t>指标解释</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222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cs="宋体"/>
                <w:kern w:val="0"/>
                <w:sz w:val="20"/>
                <w:szCs w:val="20"/>
              </w:rPr>
            </w:pPr>
            <w:r>
              <w:rPr>
                <w:rFonts w:hint="eastAsia" w:ascii="宋体" w:hAnsi="宋体" w:cs="宋体"/>
                <w:kern w:val="0"/>
                <w:sz w:val="20"/>
                <w:szCs w:val="20"/>
              </w:rPr>
              <w:t>结转结余率（4）</w:t>
            </w:r>
          </w:p>
        </w:tc>
        <w:tc>
          <w:tcPr>
            <w:tcW w:w="0" w:type="auto"/>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45%</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56%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2.8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结转结余率=结转结余总额/支出预算数×100%。</w:t>
            </w:r>
            <w:r>
              <w:rPr>
                <w:rFonts w:hint="eastAsia" w:ascii="宋体" w:hAnsi="宋体" w:cs="宋体"/>
                <w:kern w:val="0"/>
                <w:sz w:val="20"/>
                <w:szCs w:val="20"/>
              </w:rPr>
              <w:br w:type="textWrapping"/>
            </w:r>
            <w:r>
              <w:rPr>
                <w:rFonts w:hint="eastAsia" w:ascii="宋体" w:hAnsi="宋体" w:cs="宋体"/>
                <w:kern w:val="0"/>
                <w:sz w:val="20"/>
                <w:szCs w:val="20"/>
              </w:rPr>
              <w:t>结转结余总额：部门（单位）本年度的结转资金与结余资金之和。</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①部门结转结余率低于上年的不扣分；高于上年结余率，每高出1个百分点扣0.4分，扣完为止。</w:t>
            </w:r>
          </w:p>
          <w:p>
            <w:pPr>
              <w:widowControl/>
              <w:jc w:val="left"/>
              <w:rPr>
                <w:rFonts w:ascii="宋体" w:hAnsi="宋体" w:cs="宋体"/>
                <w:kern w:val="0"/>
                <w:sz w:val="20"/>
                <w:szCs w:val="20"/>
              </w:rPr>
            </w:pPr>
            <w:r>
              <w:rPr>
                <w:rFonts w:hint="eastAsia" w:ascii="宋体" w:hAnsi="宋体" w:cs="宋体"/>
                <w:kern w:val="0"/>
                <w:sz w:val="20"/>
                <w:szCs w:val="20"/>
              </w:rPr>
              <w:t>②特殊说明：2022年12月14日根据京财科文指〔2022〕2704号文件追加项目经费15798.22万元，影响项目预算执行，故本次结转结余率测算时剔除预算数中该部分资金，计算得出调整后2022年结转结余率=（结转结余总额112317.27万元-年底追加预算数15798.22万元）/支出预算数201,144.79万元=48%</w:t>
            </w:r>
          </w:p>
          <w:p>
            <w:pPr>
              <w:widowControl/>
              <w:jc w:val="left"/>
              <w:rPr>
                <w:rFonts w:ascii="宋体" w:hAnsi="宋体" w:cs="宋体"/>
                <w:kern w:val="0"/>
                <w:sz w:val="20"/>
                <w:szCs w:val="20"/>
              </w:rPr>
            </w:pPr>
            <w:r>
              <w:rPr>
                <w:rFonts w:hint="eastAsia" w:ascii="宋体" w:hAnsi="宋体" w:cs="宋体"/>
                <w:kern w:val="0"/>
                <w:sz w:val="20"/>
                <w:szCs w:val="20"/>
              </w:rPr>
              <w:t>得分计算为：该项指标分值4分-（调整后2022年结转结余率48%-上年结转结余率45%）*0.4分=2.8</w:t>
            </w:r>
          </w:p>
          <w:p>
            <w:pPr>
              <w:pStyle w:val="2"/>
            </w:pPr>
          </w:p>
        </w:tc>
      </w:tr>
      <w:tr>
        <w:tblPrEx>
          <w:tblCellMar>
            <w:top w:w="0" w:type="dxa"/>
            <w:left w:w="108" w:type="dxa"/>
            <w:bottom w:w="0" w:type="dxa"/>
            <w:right w:w="108" w:type="dxa"/>
          </w:tblCellMar>
        </w:tblPrEx>
        <w:trPr>
          <w:cantSplit/>
          <w:trHeight w:val="98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cs="宋体"/>
                <w:kern w:val="0"/>
                <w:sz w:val="20"/>
                <w:szCs w:val="20"/>
              </w:rPr>
            </w:pPr>
            <w:r>
              <w:rPr>
                <w:rFonts w:hint="eastAsia" w:ascii="宋体" w:hAnsi="宋体" w:cs="宋体"/>
                <w:kern w:val="0"/>
                <w:sz w:val="20"/>
                <w:szCs w:val="20"/>
              </w:rPr>
              <w:t>部门预决算差异率（4）</w:t>
            </w:r>
          </w:p>
        </w:tc>
        <w:tc>
          <w:tcPr>
            <w:tcW w:w="0" w:type="auto"/>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101%</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1.2</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通过年度部门决算与年初部门预算对比，对部门的年度支出情况进行考核，衡量部门预算的约束力。</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0" w:type="auto"/>
            <w:gridSpan w:val="5"/>
            <w:tcBorders>
              <w:top w:val="single" w:color="000000" w:sz="4" w:space="0"/>
              <w:left w:val="single" w:color="auto"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0" w:type="auto"/>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716"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85.40　</w:t>
            </w:r>
          </w:p>
        </w:tc>
        <w:tc>
          <w:tcPr>
            <w:tcW w:w="5909" w:type="dxa"/>
            <w:gridSpan w:val="2"/>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spacing w:line="20" w:lineRule="exact"/>
        <w:rPr>
          <w:rFonts w:ascii="方正小标宋简体" w:eastAsia="方正小标宋简体"/>
          <w:sz w:val="36"/>
          <w:szCs w:val="36"/>
        </w:rPr>
      </w:pPr>
    </w:p>
    <w:p>
      <w:pPr>
        <w:pStyle w:val="9"/>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60AA5"/>
    <w:multiLevelType w:val="singleLevel"/>
    <w:tmpl w:val="FFA60AA5"/>
    <w:lvl w:ilvl="0" w:tentative="0">
      <w:start w:val="8"/>
      <w:numFmt w:val="decimal"/>
      <w:suff w:val="nothing"/>
      <w:lvlText w:val="（%1）"/>
      <w:lvlJc w:val="left"/>
    </w:lvl>
  </w:abstractNum>
  <w:abstractNum w:abstractNumId="1">
    <w:nsid w:val="365B1683"/>
    <w:multiLevelType w:val="singleLevel"/>
    <w:tmpl w:val="365B1683"/>
    <w:lvl w:ilvl="0" w:tentative="0">
      <w:start w:val="8"/>
      <w:numFmt w:val="decimal"/>
      <w:suff w:val="nothing"/>
      <w:lvlText w:val="（%1）"/>
      <w:lvlJc w:val="left"/>
    </w:lvl>
  </w:abstractNum>
  <w:abstractNum w:abstractNumId="2">
    <w:nsid w:val="4FC88DAD"/>
    <w:multiLevelType w:val="singleLevel"/>
    <w:tmpl w:val="4FC88DAD"/>
    <w:lvl w:ilvl="0" w:tentative="0">
      <w:start w:val="1"/>
      <w:numFmt w:val="decimal"/>
      <w:suff w:val="nothing"/>
      <w:lvlText w:val="%1）"/>
      <w:lvlJc w:val="left"/>
      <w:pPr>
        <w:ind w:left="-2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19"/>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ZmUzYTZjZDcwYmIyZGIxZDI2MmZlNWMwMTg1YjEifQ=="/>
  </w:docVars>
  <w:rsids>
    <w:rsidRoot w:val="F77F09F4"/>
    <w:rsid w:val="000B1B35"/>
    <w:rsid w:val="001C6B45"/>
    <w:rsid w:val="00294E79"/>
    <w:rsid w:val="002E72A3"/>
    <w:rsid w:val="002F775C"/>
    <w:rsid w:val="0041147D"/>
    <w:rsid w:val="00507960"/>
    <w:rsid w:val="00526F69"/>
    <w:rsid w:val="00566EF7"/>
    <w:rsid w:val="00586457"/>
    <w:rsid w:val="00927698"/>
    <w:rsid w:val="00A47484"/>
    <w:rsid w:val="00C078DA"/>
    <w:rsid w:val="00C97065"/>
    <w:rsid w:val="00D47AB3"/>
    <w:rsid w:val="0FFBA884"/>
    <w:rsid w:val="10863702"/>
    <w:rsid w:val="175F53D8"/>
    <w:rsid w:val="1BF65BDF"/>
    <w:rsid w:val="1FF7BCCB"/>
    <w:rsid w:val="26A22CF9"/>
    <w:rsid w:val="27FD5371"/>
    <w:rsid w:val="2B522360"/>
    <w:rsid w:val="2F7D6A5D"/>
    <w:rsid w:val="33E5680D"/>
    <w:rsid w:val="35FF7BDD"/>
    <w:rsid w:val="37173543"/>
    <w:rsid w:val="397F1EF8"/>
    <w:rsid w:val="3AEBA227"/>
    <w:rsid w:val="3BFDF621"/>
    <w:rsid w:val="3ED781C8"/>
    <w:rsid w:val="3FDBA076"/>
    <w:rsid w:val="3FDFB3F0"/>
    <w:rsid w:val="3FDFC9A6"/>
    <w:rsid w:val="3FF76880"/>
    <w:rsid w:val="423A0A26"/>
    <w:rsid w:val="48881E96"/>
    <w:rsid w:val="49864673"/>
    <w:rsid w:val="4B626DC4"/>
    <w:rsid w:val="4ED72F52"/>
    <w:rsid w:val="4EF3F707"/>
    <w:rsid w:val="57A6378C"/>
    <w:rsid w:val="5B979C7C"/>
    <w:rsid w:val="5BFD4AC2"/>
    <w:rsid w:val="5EE60A58"/>
    <w:rsid w:val="619C6DB9"/>
    <w:rsid w:val="622E79E4"/>
    <w:rsid w:val="67759716"/>
    <w:rsid w:val="67CF3862"/>
    <w:rsid w:val="6B772ECB"/>
    <w:rsid w:val="6E5E9CBF"/>
    <w:rsid w:val="6F1C235B"/>
    <w:rsid w:val="6F7ED27B"/>
    <w:rsid w:val="6FFF3355"/>
    <w:rsid w:val="75B17A7C"/>
    <w:rsid w:val="76AD6534"/>
    <w:rsid w:val="76CBD5E2"/>
    <w:rsid w:val="777F9B37"/>
    <w:rsid w:val="77E7543A"/>
    <w:rsid w:val="77EFC51E"/>
    <w:rsid w:val="77FF0BBE"/>
    <w:rsid w:val="77FF841A"/>
    <w:rsid w:val="78356FDB"/>
    <w:rsid w:val="7AB7FF50"/>
    <w:rsid w:val="7AEAF641"/>
    <w:rsid w:val="7B7F0157"/>
    <w:rsid w:val="7BAD2729"/>
    <w:rsid w:val="7BFEB0DB"/>
    <w:rsid w:val="7C5B3879"/>
    <w:rsid w:val="7F79F720"/>
    <w:rsid w:val="7FD6B0E7"/>
    <w:rsid w:val="7FD7DD17"/>
    <w:rsid w:val="7FDC6895"/>
    <w:rsid w:val="7FECA88B"/>
    <w:rsid w:val="7FFA802A"/>
    <w:rsid w:val="7FFF4E81"/>
    <w:rsid w:val="7FFFD0D3"/>
    <w:rsid w:val="7FFFFA1D"/>
    <w:rsid w:val="86B79850"/>
    <w:rsid w:val="8716660E"/>
    <w:rsid w:val="9DF76D6A"/>
    <w:rsid w:val="9E75903F"/>
    <w:rsid w:val="9FEF9436"/>
    <w:rsid w:val="A3AA735E"/>
    <w:rsid w:val="A75D4892"/>
    <w:rsid w:val="AFDDDF83"/>
    <w:rsid w:val="AFFFCE02"/>
    <w:rsid w:val="B5F82E93"/>
    <w:rsid w:val="CBFDEB0F"/>
    <w:rsid w:val="CEFD3F3D"/>
    <w:rsid w:val="CFEFA7CB"/>
    <w:rsid w:val="D0CFF679"/>
    <w:rsid w:val="D6B22E60"/>
    <w:rsid w:val="D7F2FF1C"/>
    <w:rsid w:val="DFF6CAD6"/>
    <w:rsid w:val="EA3F77F2"/>
    <w:rsid w:val="EBEEDE73"/>
    <w:rsid w:val="ED7F7266"/>
    <w:rsid w:val="EEFE5989"/>
    <w:rsid w:val="EFB7DBEC"/>
    <w:rsid w:val="EFCF3EAE"/>
    <w:rsid w:val="F3EE7AA0"/>
    <w:rsid w:val="F4FDEB06"/>
    <w:rsid w:val="F5B764A2"/>
    <w:rsid w:val="F77F09F4"/>
    <w:rsid w:val="F7C2108B"/>
    <w:rsid w:val="F92EB69F"/>
    <w:rsid w:val="FAF6DE55"/>
    <w:rsid w:val="FB2FC289"/>
    <w:rsid w:val="FBED569B"/>
    <w:rsid w:val="FBFF6E65"/>
    <w:rsid w:val="FC779BA9"/>
    <w:rsid w:val="FDDFBB5B"/>
    <w:rsid w:val="FDFF4D2C"/>
    <w:rsid w:val="FE5EEED4"/>
    <w:rsid w:val="FE7F7846"/>
    <w:rsid w:val="FEEF6AA0"/>
    <w:rsid w:val="FF3BD633"/>
    <w:rsid w:val="FF4D758D"/>
    <w:rsid w:val="FF5AA558"/>
    <w:rsid w:val="FF9909B3"/>
    <w:rsid w:val="FFAA14EC"/>
    <w:rsid w:val="FFB792B8"/>
    <w:rsid w:val="FFC3C7B8"/>
    <w:rsid w:val="FFD7BFFC"/>
    <w:rsid w:val="FFFA6B0F"/>
    <w:rsid w:val="FFFB55F6"/>
    <w:rsid w:val="FFFFB0F6"/>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eastAsia="仿宋_GB2312"/>
      <w:sz w:val="32"/>
    </w:rPr>
  </w:style>
  <w:style w:type="paragraph" w:styleId="5">
    <w:name w:val="Normal Indent"/>
    <w:basedOn w:val="1"/>
    <w:qFormat/>
    <w:uiPriority w:val="0"/>
    <w:pPr>
      <w:ind w:firstLine="200" w:firstLineChars="200"/>
    </w:pPr>
  </w:style>
  <w:style w:type="paragraph" w:styleId="6">
    <w:name w:val="annotation text"/>
    <w:basedOn w:val="1"/>
    <w:link w:val="18"/>
    <w:qFormat/>
    <w:uiPriority w:val="0"/>
    <w:pPr>
      <w:jc w:val="left"/>
    </w:pPr>
  </w:style>
  <w:style w:type="paragraph" w:styleId="7">
    <w:name w:val="Block Text"/>
    <w:basedOn w:val="1"/>
    <w:qFormat/>
    <w:uiPriority w:val="0"/>
    <w:pPr>
      <w:spacing w:after="120"/>
      <w:ind w:left="1440" w:leftChars="700" w:right="1440" w:rightChars="700"/>
    </w:pPr>
    <w:rPr>
      <w:rFonts w:ascii="Calibri" w:hAnsi="Calibri"/>
    </w:r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next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annotation subject"/>
    <w:basedOn w:val="6"/>
    <w:next w:val="6"/>
    <w:link w:val="19"/>
    <w:qFormat/>
    <w:uiPriority w:val="0"/>
    <w:rPr>
      <w:b/>
      <w:bCs/>
    </w:rPr>
  </w:style>
  <w:style w:type="character" w:styleId="14">
    <w:name w:val="annotation reference"/>
    <w:basedOn w:val="13"/>
    <w:qFormat/>
    <w:uiPriority w:val="0"/>
    <w:rPr>
      <w:sz w:val="21"/>
      <w:szCs w:val="21"/>
    </w:rPr>
  </w:style>
  <w:style w:type="paragraph" w:customStyle="1" w:styleId="15">
    <w:name w:val="列出段落1"/>
    <w:basedOn w:val="1"/>
    <w:qFormat/>
    <w:uiPriority w:val="34"/>
    <w:pPr>
      <w:ind w:firstLine="420" w:firstLineChars="200"/>
    </w:pPr>
    <w:rPr>
      <w:rFonts w:ascii="Calibri" w:hAnsi="Calibri" w:cs="黑体"/>
      <w:szCs w:val="22"/>
    </w:rPr>
  </w:style>
  <w:style w:type="paragraph" w:customStyle="1" w:styleId="16">
    <w:name w:val="TOC 11"/>
    <w:next w:val="1"/>
    <w:qFormat/>
    <w:uiPriority w:val="0"/>
    <w:pPr>
      <w:wordWrap w:val="0"/>
      <w:jc w:val="both"/>
    </w:pPr>
    <w:rPr>
      <w:rFonts w:ascii="Calibri" w:hAnsi="Calibri" w:eastAsia="宋体" w:cs="Calibri"/>
      <w:sz w:val="21"/>
      <w:szCs w:val="22"/>
      <w:lang w:val="en-US" w:eastAsia="zh-CN" w:bidi="ar-SA"/>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批注文字 Char"/>
    <w:basedOn w:val="13"/>
    <w:link w:val="6"/>
    <w:qFormat/>
    <w:uiPriority w:val="0"/>
    <w:rPr>
      <w:kern w:val="2"/>
      <w:sz w:val="21"/>
      <w:szCs w:val="24"/>
    </w:rPr>
  </w:style>
  <w:style w:type="character" w:customStyle="1" w:styleId="19">
    <w:name w:val="批注主题 Char"/>
    <w:basedOn w:val="18"/>
    <w:link w:val="11"/>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2336</Words>
  <Characters>13321</Characters>
  <Lines>111</Lines>
  <Paragraphs>31</Paragraphs>
  <TotalTime>98</TotalTime>
  <ScaleCrop>false</ScaleCrop>
  <LinksUpToDate>false</LinksUpToDate>
  <CharactersWithSpaces>15626</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2022-03-17T11:16:00Z</dcterms:created>
  <dc:creator>user</dc:creator>
  <cp:lastModifiedBy>fuying</cp:lastModifiedBy>
  <cp:lastPrinted>2023-03-08T17:31:00Z</cp:lastPrinted>
  <dcterms:modified xsi:type="dcterms:W3CDTF">2023-08-23T16:19:55Z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988DC33B0D48486BBC532DC02ABFA8BB_13</vt:lpwstr>
  </property>
</Properties>
</file>