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color w:val="000000"/>
          <w:sz w:val="36"/>
          <w:szCs w:val="36"/>
          <w:lang w:val="en-US" w:eastAsia="zh-CN"/>
        </w:rPr>
      </w:pPr>
      <w:r>
        <w:rPr>
          <w:rFonts w:hint="eastAsia" w:ascii="方正小标宋简体" w:eastAsia="方正小标宋简体"/>
          <w:color w:val="000000"/>
          <w:sz w:val="36"/>
          <w:szCs w:val="36"/>
          <w:lang w:val="en-US" w:eastAsia="zh-CN"/>
        </w:rPr>
        <w:t>北京考古遗址博物馆</w:t>
      </w:r>
    </w:p>
    <w:p>
      <w:pPr>
        <w:spacing w:line="560" w:lineRule="exact"/>
        <w:jc w:val="center"/>
        <w:rPr>
          <w:rFonts w:hint="eastAsia" w:ascii="方正小标宋简体" w:eastAsia="方正小标宋简体"/>
          <w:color w:val="000000"/>
          <w:sz w:val="36"/>
          <w:szCs w:val="36"/>
        </w:rPr>
      </w:pPr>
      <w:r>
        <w:rPr>
          <w:rFonts w:hint="eastAsia" w:ascii="方正小标宋简体" w:eastAsia="方正小标宋简体"/>
          <w:color w:val="000000"/>
          <w:sz w:val="36"/>
          <w:szCs w:val="36"/>
        </w:rPr>
        <w:t>单位</w:t>
      </w:r>
      <w:r>
        <w:rPr>
          <w:rFonts w:hint="eastAsia" w:ascii="方正小标宋简体" w:eastAsia="方正小标宋简体"/>
          <w:color w:val="000000"/>
          <w:sz w:val="36"/>
          <w:szCs w:val="36"/>
          <w:lang w:eastAsia="zh-CN"/>
        </w:rPr>
        <w:t>2023年</w:t>
      </w:r>
      <w:r>
        <w:rPr>
          <w:rFonts w:hint="eastAsia" w:ascii="方正小标宋简体" w:eastAsia="方正小标宋简体"/>
          <w:color w:val="000000"/>
          <w:sz w:val="36"/>
          <w:szCs w:val="36"/>
        </w:rPr>
        <w:t>财政预算信息公开</w:t>
      </w:r>
    </w:p>
    <w:p>
      <w:pPr>
        <w:spacing w:line="240" w:lineRule="exact"/>
        <w:jc w:val="center"/>
        <w:rPr>
          <w:rFonts w:hint="eastAsia" w:ascii="方正小标宋简体" w:eastAsia="方正小标宋简体"/>
          <w:color w:val="000000"/>
          <w:sz w:val="32"/>
          <w:szCs w:val="32"/>
        </w:rPr>
      </w:pPr>
    </w:p>
    <w:p>
      <w:pPr>
        <w:spacing w:line="560" w:lineRule="exact"/>
        <w:jc w:val="center"/>
        <w:rPr>
          <w:rFonts w:hint="eastAsia"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hint="eastAsia" w:ascii="方正小标宋简体" w:eastAsia="方正小标宋简体"/>
          <w:color w:val="000000"/>
          <w:sz w:val="32"/>
          <w:szCs w:val="32"/>
        </w:rPr>
      </w:pPr>
    </w:p>
    <w:p>
      <w:pPr>
        <w:spacing w:line="560" w:lineRule="exact"/>
        <w:rPr>
          <w:rFonts w:hint="eastAsia" w:ascii="黑体" w:hAnsi="黑体" w:eastAsia="黑体" w:cs="黑体"/>
          <w:color w:val="000000"/>
          <w:sz w:val="32"/>
          <w:szCs w:val="32"/>
        </w:rPr>
      </w:pPr>
      <w:r>
        <w:rPr>
          <w:rFonts w:hint="eastAsia" w:ascii="黑体" w:hAnsi="黑体" w:eastAsia="黑体" w:cs="黑体"/>
          <w:color w:val="000000"/>
          <w:sz w:val="32"/>
          <w:szCs w:val="32"/>
        </w:rPr>
        <w:t xml:space="preserve">第一部分 </w:t>
      </w:r>
      <w:r>
        <w:rPr>
          <w:rFonts w:hint="eastAsia" w:ascii="黑体" w:hAnsi="黑体" w:eastAsia="黑体" w:cs="黑体"/>
          <w:color w:val="000000"/>
          <w:sz w:val="32"/>
          <w:szCs w:val="32"/>
          <w:lang w:eastAsia="zh-CN"/>
        </w:rPr>
        <w:t>2023年</w:t>
      </w:r>
      <w:r>
        <w:rPr>
          <w:rFonts w:hint="eastAsia" w:ascii="黑体" w:hAnsi="黑体" w:eastAsia="黑体" w:cs="黑体"/>
          <w:color w:val="000000"/>
          <w:sz w:val="32"/>
          <w:szCs w:val="32"/>
        </w:rPr>
        <w:t>度单位预算情况说明</w:t>
      </w:r>
    </w:p>
    <w:p>
      <w:pPr>
        <w:spacing w:line="560" w:lineRule="exact"/>
        <w:ind w:firstLine="640" w:firstLineChars="200"/>
        <w:rPr>
          <w:rFonts w:hint="eastAsia"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w:t>
      </w:r>
      <w:r>
        <w:rPr>
          <w:rFonts w:hint="eastAsia" w:ascii="仿宋_GB2312" w:hAnsi="仿宋_GB2312" w:eastAsia="仿宋_GB2312" w:cs="仿宋_GB2312"/>
          <w:color w:val="000000"/>
          <w:sz w:val="32"/>
          <w:szCs w:val="32"/>
          <w:lang w:eastAsia="zh-CN"/>
        </w:rPr>
        <w:t>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w:t>
      </w:r>
      <w:r>
        <w:rPr>
          <w:rFonts w:hint="eastAsia" w:ascii="仿宋_GB2312" w:hAnsi="仿宋_GB2312" w:eastAsia="仿宋_GB2312" w:cs="仿宋_GB2312"/>
          <w:color w:val="000000"/>
          <w:sz w:val="32"/>
          <w:szCs w:val="32"/>
          <w:lang w:eastAsia="zh-CN"/>
        </w:rPr>
        <w:t>预算</w:t>
      </w:r>
      <w:r>
        <w:rPr>
          <w:rFonts w:hint="eastAsia" w:ascii="仿宋_GB2312" w:hAnsi="仿宋_GB2312" w:eastAsia="仿宋_GB2312" w:cs="仿宋_GB2312"/>
          <w:color w:val="000000"/>
          <w:sz w:val="32"/>
          <w:szCs w:val="32"/>
        </w:rPr>
        <w:t>情况</w:t>
      </w:r>
      <w:r>
        <w:rPr>
          <w:rFonts w:hint="eastAsia" w:ascii="仿宋_GB2312" w:hAnsi="仿宋_GB2312" w:eastAsia="仿宋_GB2312" w:cs="仿宋_GB2312"/>
          <w:color w:val="000000"/>
          <w:sz w:val="32"/>
          <w:szCs w:val="32"/>
          <w:lang w:eastAsia="zh-CN"/>
        </w:rPr>
        <w:t>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w:t>
      </w:r>
      <w:r>
        <w:rPr>
          <w:rFonts w:hint="eastAsia" w:ascii="仿宋_GB2312" w:hAnsi="仿宋_GB2312" w:eastAsia="仿宋_GB2312" w:cs="仿宋_GB2312"/>
          <w:color w:val="000000"/>
          <w:sz w:val="32"/>
          <w:szCs w:val="32"/>
          <w:lang w:eastAsia="zh-CN"/>
        </w:rPr>
        <w:t>预算</w:t>
      </w:r>
      <w:r>
        <w:rPr>
          <w:rFonts w:hint="eastAsia" w:ascii="仿宋_GB2312" w:hAnsi="仿宋_GB2312" w:eastAsia="仿宋_GB2312" w:cs="仿宋_GB2312"/>
          <w:color w:val="000000"/>
          <w:sz w:val="32"/>
          <w:szCs w:val="32"/>
        </w:rPr>
        <w:t>情况</w:t>
      </w:r>
      <w:r>
        <w:rPr>
          <w:rFonts w:hint="eastAsia" w:ascii="仿宋_GB2312" w:hAnsi="仿宋_GB2312" w:eastAsia="仿宋_GB2312" w:cs="仿宋_GB2312"/>
          <w:color w:val="000000"/>
          <w:sz w:val="32"/>
          <w:szCs w:val="32"/>
          <w:lang w:eastAsia="zh-CN"/>
        </w:rPr>
        <w:t>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w:t>
      </w:r>
      <w:r>
        <w:rPr>
          <w:rFonts w:hint="eastAsia" w:ascii="仿宋_GB2312" w:hAnsi="仿宋_GB2312" w:eastAsia="仿宋_GB2312" w:cs="仿宋_GB2312"/>
          <w:color w:val="000000"/>
          <w:sz w:val="32"/>
          <w:szCs w:val="32"/>
          <w:lang w:eastAsia="zh-CN"/>
        </w:rPr>
        <w:t>情况</w:t>
      </w:r>
      <w:r>
        <w:rPr>
          <w:rFonts w:hint="eastAsia" w:ascii="仿宋_GB2312" w:hAnsi="仿宋_GB2312" w:eastAsia="仿宋_GB2312" w:cs="仿宋_GB2312"/>
          <w:color w:val="000000"/>
          <w:sz w:val="32"/>
          <w:szCs w:val="32"/>
        </w:rPr>
        <w:t>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hint="eastAsia" w:ascii="黑体" w:hAnsi="黑体" w:eastAsia="黑体" w:cs="黑体"/>
          <w:color w:val="000000"/>
          <w:sz w:val="32"/>
          <w:szCs w:val="32"/>
        </w:rPr>
      </w:pPr>
      <w:r>
        <w:rPr>
          <w:rFonts w:hint="eastAsia" w:ascii="黑体" w:hAnsi="黑体" w:eastAsia="黑体" w:cs="黑体"/>
          <w:color w:val="000000"/>
          <w:sz w:val="32"/>
          <w:szCs w:val="32"/>
        </w:rPr>
        <w:t xml:space="preserve">第二部分 </w:t>
      </w:r>
      <w:r>
        <w:rPr>
          <w:rFonts w:hint="eastAsia" w:ascii="黑体" w:hAnsi="黑体" w:eastAsia="黑体" w:cs="黑体"/>
          <w:color w:val="000000"/>
          <w:sz w:val="32"/>
          <w:szCs w:val="32"/>
          <w:lang w:eastAsia="zh-CN"/>
        </w:rPr>
        <w:t>2023年</w:t>
      </w:r>
      <w:r>
        <w:rPr>
          <w:rFonts w:hint="eastAsia" w:ascii="黑体" w:hAnsi="黑体" w:eastAsia="黑体" w:cs="黑体"/>
          <w:color w:val="000000"/>
          <w:sz w:val="32"/>
          <w:szCs w:val="32"/>
        </w:rPr>
        <w:t>度单位预算报表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jc w:val="left"/>
        <w:rPr>
          <w:rFonts w:hint="eastAsia"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0"/>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lang w:val="zh-CN"/>
        </w:rPr>
      </w:pPr>
      <w:r>
        <w:rPr>
          <w:rFonts w:hint="eastAsia" w:ascii="仿宋_GB2312" w:hAnsi="仿宋_GB2312" w:eastAsia="仿宋_GB2312" w:cs="仿宋_GB2312"/>
          <w:color w:val="000000"/>
          <w:spacing w:val="0"/>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十三、项目支出绩效目标表</w:t>
      </w:r>
    </w:p>
    <w:p>
      <w:pPr>
        <w:spacing w:line="560" w:lineRule="exact"/>
        <w:jc w:val="center"/>
        <w:rPr>
          <w:rFonts w:hint="eastAsia" w:ascii="方正小标宋简体" w:eastAsia="方正小标宋简体"/>
          <w:color w:val="000000"/>
          <w:sz w:val="32"/>
          <w:szCs w:val="32"/>
        </w:rPr>
      </w:pPr>
      <w:r>
        <w:rPr>
          <w:rFonts w:hint="eastAsia" w:ascii="方正小标宋简体" w:eastAsia="方正小标宋简体"/>
          <w:color w:val="000000"/>
          <w:sz w:val="36"/>
          <w:szCs w:val="36"/>
        </w:rPr>
        <w:t xml:space="preserve">第一部分  </w:t>
      </w:r>
      <w:r>
        <w:rPr>
          <w:rFonts w:hint="eastAsia" w:ascii="方正小标宋简体" w:eastAsia="方正小标宋简体"/>
          <w:color w:val="000000"/>
          <w:sz w:val="36"/>
          <w:szCs w:val="36"/>
          <w:lang w:eastAsia="zh-CN"/>
        </w:rPr>
        <w:t>2023年度</w:t>
      </w:r>
      <w:r>
        <w:rPr>
          <w:rFonts w:hint="eastAsia" w:ascii="方正小标宋简体" w:eastAsia="方正小标宋简体"/>
          <w:color w:val="000000"/>
          <w:sz w:val="36"/>
          <w:szCs w:val="36"/>
        </w:rPr>
        <w:t>单位预算情况说明</w:t>
      </w:r>
    </w:p>
    <w:p>
      <w:pPr>
        <w:spacing w:line="560" w:lineRule="exact"/>
        <w:ind w:firstLine="640" w:firstLineChars="200"/>
        <w:rPr>
          <w:rFonts w:hint="eastAsia" w:ascii="黑体" w:eastAsia="黑体"/>
          <w:color w:val="000000"/>
          <w:sz w:val="32"/>
          <w:szCs w:val="32"/>
          <w:lang w:eastAsia="zh-CN"/>
        </w:rPr>
      </w:pPr>
      <w:r>
        <w:rPr>
          <w:rFonts w:hint="eastAsia" w:ascii="黑体" w:eastAsia="黑体"/>
          <w:color w:val="000000"/>
          <w:sz w:val="32"/>
          <w:szCs w:val="32"/>
        </w:rPr>
        <w:t>一、单位情况</w:t>
      </w:r>
      <w:r>
        <w:rPr>
          <w:rFonts w:hint="eastAsia" w:ascii="黑体" w:eastAsia="黑体"/>
          <w:color w:val="000000"/>
          <w:sz w:val="32"/>
          <w:szCs w:val="32"/>
          <w:lang w:eastAsia="zh-CN"/>
        </w:rPr>
        <w:t>说明</w:t>
      </w:r>
    </w:p>
    <w:p>
      <w:pPr>
        <w:spacing w:line="560" w:lineRule="exact"/>
        <w:ind w:firstLine="640" w:firstLineChars="200"/>
        <w:rPr>
          <w:rFonts w:hint="eastAsia" w:ascii="方正楷体_GB2312" w:eastAsia="方正楷体_GB2312"/>
          <w:color w:val="000000"/>
          <w:sz w:val="32"/>
          <w:szCs w:val="32"/>
        </w:rPr>
      </w:pPr>
      <w:r>
        <w:rPr>
          <w:rFonts w:hint="eastAsia" w:ascii="方正楷体_GB2312" w:eastAsia="方正楷体_GB2312"/>
          <w:color w:val="000000"/>
          <w:sz w:val="32"/>
          <w:szCs w:val="32"/>
        </w:rPr>
        <w:t>（一）本单位性质、职责等情况</w:t>
      </w:r>
    </w:p>
    <w:p>
      <w:pPr>
        <w:spacing w:line="560" w:lineRule="exact"/>
        <w:ind w:firstLine="640" w:firstLineChars="200"/>
        <w:rPr>
          <w:rFonts w:hint="eastAsia" w:ascii="仿宋_GB2312" w:eastAsia="仿宋_GB2312" w:cs="Times New Roman"/>
          <w:sz w:val="32"/>
          <w:szCs w:val="32"/>
          <w:lang w:eastAsia="zh-CN"/>
        </w:rPr>
      </w:pPr>
      <w:r>
        <w:rPr>
          <w:rFonts w:hint="eastAsia" w:ascii="仿宋_GB2312" w:hAnsi="Times New Roman" w:eastAsia="仿宋_GB2312" w:cs="Times New Roman"/>
          <w:sz w:val="32"/>
          <w:szCs w:val="32"/>
        </w:rPr>
        <w:t>根据</w:t>
      </w:r>
      <w:r>
        <w:rPr>
          <w:rFonts w:hint="eastAsia" w:ascii="仿宋_GB2312" w:eastAsia="仿宋_GB2312"/>
          <w:sz w:val="32"/>
          <w:szCs w:val="32"/>
        </w:rPr>
        <w:t>市编委《关于北京市文物局所属事业单位改革有关事项的批复》（京编委〔202</w:t>
      </w:r>
      <w:r>
        <w:rPr>
          <w:rFonts w:hint="eastAsia" w:ascii="仿宋_GB2312" w:eastAsia="仿宋_GB2312"/>
          <w:sz w:val="32"/>
          <w:szCs w:val="32"/>
          <w:lang w:val="en-US" w:eastAsia="zh-CN"/>
        </w:rPr>
        <w:t>1</w:t>
      </w:r>
      <w:r>
        <w:rPr>
          <w:rFonts w:hint="eastAsia" w:ascii="仿宋_GB2312" w:eastAsia="仿宋_GB2312"/>
          <w:sz w:val="32"/>
          <w:szCs w:val="32"/>
        </w:rPr>
        <w:t>〕121号），</w:t>
      </w:r>
      <w:r>
        <w:rPr>
          <w:rFonts w:hint="eastAsia" w:ascii="仿宋_GB2312" w:eastAsia="仿宋_GB2312"/>
          <w:sz w:val="32"/>
          <w:szCs w:val="32"/>
          <w:lang w:eastAsia="zh-CN"/>
        </w:rPr>
        <w:t>同意整合北京市西周燕都博物馆、北京辽金城垣博物馆、北京市大葆台西汉墓博物馆，组建</w:t>
      </w:r>
      <w:r>
        <w:rPr>
          <w:rFonts w:hint="eastAsia" w:ascii="仿宋_GB2312" w:eastAsia="仿宋_GB2312"/>
          <w:sz w:val="32"/>
          <w:szCs w:val="32"/>
        </w:rPr>
        <w:t>北京</w:t>
      </w:r>
      <w:r>
        <w:rPr>
          <w:rFonts w:hint="eastAsia" w:ascii="仿宋_GB2312" w:eastAsia="仿宋_GB2312"/>
          <w:sz w:val="32"/>
          <w:szCs w:val="32"/>
          <w:lang w:eastAsia="zh-CN"/>
        </w:rPr>
        <w:t>考古遗址博物馆</w:t>
      </w:r>
      <w:r>
        <w:rPr>
          <w:rFonts w:hint="eastAsia" w:ascii="仿宋_GB2312" w:hAnsi="Times New Roman" w:eastAsia="仿宋_GB2312" w:cs="Times New Roman"/>
          <w:sz w:val="32"/>
          <w:szCs w:val="32"/>
        </w:rPr>
        <w:t>，</w:t>
      </w:r>
      <w:r>
        <w:rPr>
          <w:rFonts w:hint="eastAsia" w:ascii="仿宋_GB2312" w:eastAsia="仿宋_GB2312" w:cs="Times New Roman"/>
          <w:sz w:val="32"/>
          <w:szCs w:val="32"/>
          <w:lang w:eastAsia="zh-CN"/>
        </w:rPr>
        <w:t>为正处级公益一类事业单位。</w:t>
      </w:r>
    </w:p>
    <w:p>
      <w:pPr>
        <w:spacing w:line="560" w:lineRule="exact"/>
        <w:ind w:firstLine="640" w:firstLineChars="200"/>
        <w:rPr>
          <w:rFonts w:hint="eastAsia"/>
        </w:rPr>
      </w:pPr>
      <w:r>
        <w:rPr>
          <w:rFonts w:hint="eastAsia" w:ascii="仿宋_GB2312" w:eastAsia="仿宋_GB2312"/>
          <w:color w:val="000000"/>
          <w:sz w:val="32"/>
          <w:szCs w:val="32"/>
        </w:rPr>
        <w:t>北京</w:t>
      </w:r>
      <w:r>
        <w:rPr>
          <w:rFonts w:hint="eastAsia" w:ascii="仿宋_GB2312" w:eastAsia="仿宋_GB2312"/>
          <w:color w:val="000000"/>
          <w:sz w:val="32"/>
          <w:szCs w:val="32"/>
          <w:lang w:eastAsia="zh-CN"/>
        </w:rPr>
        <w:t>考古遗址博物馆</w:t>
      </w:r>
      <w:r>
        <w:rPr>
          <w:rFonts w:ascii="仿宋_GB2312" w:eastAsia="仿宋_GB2312"/>
          <w:color w:val="000000"/>
          <w:sz w:val="32"/>
          <w:szCs w:val="32"/>
        </w:rPr>
        <w:t>的</w:t>
      </w:r>
      <w:r>
        <w:rPr>
          <w:rFonts w:hint="eastAsia" w:ascii="仿宋_GB2312" w:hAnsi="Times New Roman" w:eastAsia="仿宋_GB2312" w:cs="Lucida Sans"/>
          <w:color w:val="000000"/>
          <w:sz w:val="32"/>
          <w:szCs w:val="32"/>
        </w:rPr>
        <w:t>职责</w:t>
      </w:r>
      <w:r>
        <w:rPr>
          <w:rFonts w:hint="eastAsia" w:ascii="仿宋_GB2312" w:eastAsia="仿宋_GB2312"/>
          <w:color w:val="000000"/>
          <w:sz w:val="32"/>
          <w:szCs w:val="32"/>
        </w:rPr>
        <w:t>主要是收藏展览文物，弘扬民族文化。文物征集、登编、修复、保管、文物展览，文物复制与修复，</w:t>
      </w:r>
      <w:r>
        <w:rPr>
          <w:rFonts w:hint="eastAsia" w:ascii="仿宋_GB2312" w:eastAsia="仿宋_GB2312"/>
          <w:color w:val="000000"/>
          <w:sz w:val="32"/>
          <w:szCs w:val="32"/>
          <w:lang w:eastAsia="zh-CN"/>
        </w:rPr>
        <w:t>历代</w:t>
      </w:r>
      <w:r>
        <w:rPr>
          <w:rFonts w:hint="eastAsia" w:ascii="仿宋_GB2312" w:eastAsia="仿宋_GB2312"/>
          <w:color w:val="000000"/>
          <w:sz w:val="32"/>
          <w:szCs w:val="32"/>
        </w:rPr>
        <w:t>文物研究，</w:t>
      </w:r>
      <w:r>
        <w:rPr>
          <w:rFonts w:hint="eastAsia" w:ascii="仿宋_GB2312" w:eastAsia="仿宋_GB2312"/>
          <w:color w:val="000000"/>
          <w:sz w:val="32"/>
          <w:szCs w:val="32"/>
          <w:lang w:eastAsia="zh-CN"/>
        </w:rPr>
        <w:t>文物收藏、</w:t>
      </w:r>
      <w:r>
        <w:rPr>
          <w:rFonts w:hint="eastAsia" w:ascii="仿宋_GB2312" w:eastAsia="仿宋_GB2312"/>
          <w:color w:val="000000"/>
          <w:sz w:val="32"/>
          <w:szCs w:val="32"/>
        </w:rPr>
        <w:t>博物馆研究，</w:t>
      </w:r>
      <w:r>
        <w:rPr>
          <w:rFonts w:hint="eastAsia" w:ascii="仿宋_GB2312" w:eastAsia="仿宋_GB2312"/>
          <w:color w:val="000000"/>
          <w:sz w:val="32"/>
          <w:szCs w:val="32"/>
          <w:lang w:eastAsia="zh-CN"/>
        </w:rPr>
        <w:t>古器物研究、</w:t>
      </w:r>
      <w:r>
        <w:rPr>
          <w:rFonts w:hint="eastAsia" w:ascii="仿宋_GB2312" w:eastAsia="仿宋_GB2312"/>
          <w:color w:val="000000"/>
          <w:sz w:val="32"/>
          <w:szCs w:val="32"/>
        </w:rPr>
        <w:t>通史和近代史研究，文物修复技术研究，藏品研究，文物宣传，文物讲解，历史知识普及，文物信息网络建设</w:t>
      </w:r>
      <w:r>
        <w:rPr>
          <w:rFonts w:hint="eastAsia" w:ascii="仿宋_GB2312" w:eastAsia="仿宋_GB2312"/>
          <w:color w:val="000000"/>
          <w:sz w:val="32"/>
          <w:szCs w:val="32"/>
          <w:lang w:eastAsia="zh-CN"/>
        </w:rPr>
        <w:t>，历史著作及图录编辑出版、考古技术服务。</w:t>
      </w:r>
    </w:p>
    <w:p>
      <w:pPr>
        <w:numPr>
          <w:ilvl w:val="0"/>
          <w:numId w:val="1"/>
        </w:numPr>
        <w:spacing w:line="560" w:lineRule="exact"/>
        <w:ind w:firstLine="640" w:firstLineChars="200"/>
        <w:rPr>
          <w:rFonts w:hint="eastAsia" w:ascii="方正楷体_GB2312" w:eastAsia="方正楷体_GB2312"/>
          <w:color w:val="000000"/>
          <w:sz w:val="32"/>
          <w:szCs w:val="32"/>
        </w:rPr>
      </w:pPr>
      <w:r>
        <w:rPr>
          <w:rFonts w:hint="eastAsia" w:ascii="方正楷体_GB2312" w:eastAsia="方正楷体_GB2312"/>
          <w:color w:val="000000"/>
          <w:sz w:val="32"/>
          <w:szCs w:val="32"/>
        </w:rPr>
        <w:t>机构设置情况</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北京</w:t>
      </w:r>
      <w:r>
        <w:rPr>
          <w:rFonts w:hint="eastAsia" w:ascii="仿宋_GB2312" w:eastAsia="仿宋_GB2312"/>
          <w:sz w:val="32"/>
          <w:szCs w:val="32"/>
          <w:lang w:eastAsia="zh-CN"/>
        </w:rPr>
        <w:t>考古遗址博物馆</w:t>
      </w:r>
      <w:r>
        <w:rPr>
          <w:rFonts w:hint="eastAsia" w:ascii="仿宋_GB2312" w:eastAsia="仿宋_GB2312"/>
          <w:color w:val="000000"/>
          <w:sz w:val="32"/>
          <w:szCs w:val="32"/>
          <w:lang w:val="en-US" w:eastAsia="zh-CN"/>
        </w:rPr>
        <w:t>事业编制62人，</w:t>
      </w:r>
      <w:r>
        <w:rPr>
          <w:rFonts w:hint="eastAsia" w:ascii="仿宋_GB2312" w:eastAsia="仿宋_GB2312"/>
          <w:sz w:val="32"/>
          <w:szCs w:val="32"/>
        </w:rPr>
        <w:t>依据市文物局转发关于事业单位岗位设置方案，设置8个内设机构，分别为：办公室与党建工作部</w:t>
      </w:r>
      <w:r>
        <w:rPr>
          <w:rFonts w:hint="eastAsia" w:ascii="仿宋_GB2312" w:eastAsia="仿宋_GB2312"/>
          <w:sz w:val="32"/>
          <w:szCs w:val="32"/>
          <w:lang w:eastAsia="zh-CN"/>
        </w:rPr>
        <w:t>、</w:t>
      </w:r>
      <w:r>
        <w:rPr>
          <w:rFonts w:hint="eastAsia" w:ascii="仿宋_GB2312" w:eastAsia="仿宋_GB2312"/>
          <w:sz w:val="32"/>
          <w:szCs w:val="32"/>
        </w:rPr>
        <w:t>安保开放部</w:t>
      </w:r>
      <w:r>
        <w:rPr>
          <w:rFonts w:hint="eastAsia" w:ascii="仿宋_GB2312" w:eastAsia="仿宋_GB2312"/>
          <w:sz w:val="32"/>
          <w:szCs w:val="32"/>
          <w:lang w:eastAsia="zh-CN"/>
        </w:rPr>
        <w:t>、</w:t>
      </w:r>
      <w:r>
        <w:rPr>
          <w:rFonts w:hint="eastAsia" w:ascii="仿宋_GB2312" w:eastAsia="仿宋_GB2312"/>
          <w:sz w:val="32"/>
          <w:szCs w:val="32"/>
        </w:rPr>
        <w:t>展览陈列部</w:t>
      </w:r>
      <w:r>
        <w:rPr>
          <w:rFonts w:hint="eastAsia" w:ascii="仿宋_GB2312" w:eastAsia="仿宋_GB2312"/>
          <w:sz w:val="32"/>
          <w:szCs w:val="32"/>
          <w:lang w:eastAsia="zh-CN"/>
        </w:rPr>
        <w:t>、</w:t>
      </w:r>
      <w:r>
        <w:rPr>
          <w:rFonts w:hint="eastAsia" w:ascii="仿宋_GB2312" w:eastAsia="仿宋_GB2312"/>
          <w:sz w:val="32"/>
          <w:szCs w:val="32"/>
        </w:rPr>
        <w:t>文物保护部</w:t>
      </w:r>
      <w:r>
        <w:rPr>
          <w:rFonts w:hint="eastAsia" w:ascii="仿宋_GB2312" w:eastAsia="仿宋_GB2312"/>
          <w:sz w:val="32"/>
          <w:szCs w:val="32"/>
          <w:lang w:eastAsia="zh-CN"/>
        </w:rPr>
        <w:t>、</w:t>
      </w:r>
      <w:r>
        <w:rPr>
          <w:rFonts w:hint="eastAsia" w:ascii="仿宋_GB2312" w:eastAsia="仿宋_GB2312"/>
          <w:sz w:val="32"/>
          <w:szCs w:val="32"/>
        </w:rPr>
        <w:t>考古研究部</w:t>
      </w:r>
      <w:r>
        <w:rPr>
          <w:rFonts w:hint="eastAsia" w:ascii="仿宋_GB2312" w:eastAsia="仿宋_GB2312"/>
          <w:sz w:val="32"/>
          <w:szCs w:val="32"/>
          <w:lang w:eastAsia="zh-CN"/>
        </w:rPr>
        <w:t>、</w:t>
      </w:r>
      <w:r>
        <w:rPr>
          <w:rFonts w:hint="eastAsia" w:ascii="仿宋_GB2312" w:eastAsia="仿宋_GB2312"/>
          <w:sz w:val="32"/>
          <w:szCs w:val="32"/>
        </w:rPr>
        <w:t>宣传教育部</w:t>
      </w:r>
      <w:r>
        <w:rPr>
          <w:rFonts w:hint="eastAsia" w:ascii="仿宋_GB2312" w:eastAsia="仿宋_GB2312"/>
          <w:sz w:val="32"/>
          <w:szCs w:val="32"/>
          <w:lang w:val="en-US" w:eastAsia="zh-CN"/>
        </w:rPr>
        <w:t>、</w:t>
      </w:r>
      <w:r>
        <w:rPr>
          <w:rFonts w:hint="eastAsia" w:ascii="仿宋_GB2312" w:eastAsia="仿宋_GB2312"/>
          <w:sz w:val="32"/>
          <w:szCs w:val="32"/>
        </w:rPr>
        <w:t>藏品管理部</w:t>
      </w:r>
      <w:r>
        <w:rPr>
          <w:rFonts w:hint="eastAsia" w:ascii="仿宋_GB2312" w:eastAsia="仿宋_GB2312"/>
          <w:sz w:val="32"/>
          <w:szCs w:val="32"/>
          <w:lang w:eastAsia="zh-CN"/>
        </w:rPr>
        <w:t>、</w:t>
      </w:r>
      <w:r>
        <w:rPr>
          <w:rFonts w:hint="eastAsia" w:ascii="仿宋_GB2312" w:eastAsia="仿宋_GB2312"/>
          <w:sz w:val="32"/>
          <w:szCs w:val="32"/>
        </w:rPr>
        <w:t>事业推广部</w:t>
      </w:r>
      <w:r>
        <w:rPr>
          <w:rFonts w:hint="eastAsia" w:ascii="仿宋_GB2312" w:eastAsia="仿宋_GB2312"/>
          <w:sz w:val="32"/>
          <w:szCs w:val="32"/>
          <w:lang w:eastAsia="zh-CN"/>
        </w:rPr>
        <w:t>。</w:t>
      </w:r>
    </w:p>
    <w:p>
      <w:pPr>
        <w:spacing w:line="240" w:lineRule="auto"/>
        <w:ind w:firstLine="640" w:firstLineChars="200"/>
        <w:rPr>
          <w:rFonts w:hint="eastAsia" w:ascii="方正楷体_GB2312" w:eastAsia="方正楷体_GB2312"/>
          <w:color w:val="000000"/>
          <w:sz w:val="32"/>
          <w:szCs w:val="32"/>
        </w:rPr>
      </w:pPr>
      <w:r>
        <w:rPr>
          <w:rFonts w:hint="eastAsia" w:ascii="方正楷体_GB2312" w:eastAsia="方正楷体_GB2312"/>
          <w:color w:val="000000"/>
          <w:sz w:val="32"/>
          <w:szCs w:val="32"/>
        </w:rPr>
        <w:t>（三）人员</w:t>
      </w:r>
      <w:r>
        <w:rPr>
          <w:rFonts w:hint="eastAsia" w:ascii="方正楷体_GB2312" w:eastAsia="方正楷体_GB2312"/>
          <w:color w:val="000000"/>
          <w:sz w:val="32"/>
          <w:szCs w:val="32"/>
          <w:lang w:eastAsia="zh-CN"/>
        </w:rPr>
        <w:t>编制及实有</w:t>
      </w:r>
      <w:r>
        <w:rPr>
          <w:rFonts w:hint="eastAsia" w:ascii="方正楷体_GB2312" w:eastAsia="方正楷体_GB2312"/>
          <w:color w:val="000000"/>
          <w:sz w:val="32"/>
          <w:szCs w:val="32"/>
        </w:rPr>
        <w:t>情况</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sz w:val="32"/>
          <w:szCs w:val="32"/>
          <w:lang w:val="en-US" w:eastAsia="zh-CN"/>
        </w:rPr>
        <w:t>北京考古遗址博物馆</w:t>
      </w:r>
      <w:r>
        <w:rPr>
          <w:rFonts w:hint="eastAsia" w:ascii="仿宋_GB2312" w:eastAsia="仿宋_GB2312"/>
          <w:color w:val="000000"/>
          <w:sz w:val="32"/>
          <w:szCs w:val="32"/>
        </w:rPr>
        <w:t>行政编制</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人，实有人数</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人；事业编制</w:t>
      </w:r>
      <w:r>
        <w:rPr>
          <w:rFonts w:hint="eastAsia" w:ascii="仿宋_GB2312" w:eastAsia="仿宋_GB2312"/>
          <w:color w:val="000000"/>
          <w:sz w:val="32"/>
          <w:szCs w:val="32"/>
          <w:lang w:val="en-US" w:eastAsia="zh-CN"/>
        </w:rPr>
        <w:t>62</w:t>
      </w:r>
      <w:r>
        <w:rPr>
          <w:rFonts w:hint="eastAsia" w:ascii="仿宋_GB2312" w:eastAsia="仿宋_GB2312"/>
          <w:color w:val="000000"/>
          <w:sz w:val="32"/>
          <w:szCs w:val="32"/>
        </w:rPr>
        <w:t>人，实有人数</w:t>
      </w:r>
      <w:r>
        <w:rPr>
          <w:rFonts w:hint="eastAsia" w:ascii="仿宋_GB2312" w:eastAsia="仿宋_GB2312"/>
          <w:color w:val="000000"/>
          <w:sz w:val="32"/>
          <w:szCs w:val="32"/>
          <w:lang w:val="en-US" w:eastAsia="zh-CN"/>
        </w:rPr>
        <w:t>55</w:t>
      </w:r>
      <w:r>
        <w:rPr>
          <w:rFonts w:hint="eastAsia" w:ascii="仿宋_GB2312" w:eastAsia="仿宋_GB2312"/>
          <w:color w:val="000000"/>
          <w:sz w:val="32"/>
          <w:szCs w:val="32"/>
        </w:rPr>
        <w:t>人；</w:t>
      </w:r>
      <w:r>
        <w:rPr>
          <w:rFonts w:hint="eastAsia" w:ascii="仿宋_GB2312" w:eastAsia="仿宋_GB2312"/>
          <w:color w:val="auto"/>
          <w:sz w:val="32"/>
          <w:szCs w:val="32"/>
        </w:rPr>
        <w:t>退休人员</w:t>
      </w:r>
      <w:r>
        <w:rPr>
          <w:rFonts w:hint="eastAsia" w:ascii="仿宋_GB2312" w:eastAsia="仿宋_GB2312"/>
          <w:color w:val="auto"/>
          <w:sz w:val="32"/>
          <w:szCs w:val="32"/>
          <w:lang w:val="en-US" w:eastAsia="zh-CN"/>
        </w:rPr>
        <w:t>20人</w:t>
      </w:r>
      <w:r>
        <w:rPr>
          <w:rFonts w:hint="eastAsia" w:ascii="仿宋_GB2312" w:eastAsia="仿宋_GB2312"/>
          <w:color w:val="000000"/>
          <w:sz w:val="32"/>
          <w:szCs w:val="32"/>
          <w:lang w:eastAsia="zh-CN"/>
        </w:rPr>
        <w:t>；</w:t>
      </w:r>
      <w:r>
        <w:rPr>
          <w:rFonts w:hint="eastAsia" w:ascii="仿宋_GB2312" w:eastAsia="仿宋_GB2312"/>
          <w:sz w:val="32"/>
          <w:szCs w:val="32"/>
        </w:rPr>
        <w:t>聘用人员</w:t>
      </w:r>
      <w:r>
        <w:rPr>
          <w:rFonts w:hint="eastAsia" w:ascii="仿宋_GB2312" w:eastAsia="仿宋_GB2312"/>
          <w:sz w:val="32"/>
          <w:szCs w:val="32"/>
          <w:lang w:val="en-US" w:eastAsia="zh-CN"/>
        </w:rPr>
        <w:t>75</w:t>
      </w:r>
      <w:r>
        <w:rPr>
          <w:rFonts w:hint="eastAsia" w:ascii="仿宋_GB2312" w:eastAsia="仿宋_GB2312"/>
          <w:sz w:val="32"/>
          <w:szCs w:val="32"/>
        </w:rPr>
        <w:t>人</w:t>
      </w:r>
      <w:r>
        <w:rPr>
          <w:rFonts w:hint="eastAsia" w:ascii="仿宋_GB2312" w:eastAsia="仿宋_GB2312"/>
          <w:sz w:val="32"/>
          <w:szCs w:val="32"/>
          <w:lang w:eastAsia="zh-CN"/>
        </w:rPr>
        <w:t>，</w:t>
      </w:r>
      <w:r>
        <w:rPr>
          <w:rFonts w:hint="eastAsia" w:ascii="仿宋_GB2312" w:eastAsia="仿宋_GB2312"/>
          <w:sz w:val="32"/>
          <w:szCs w:val="32"/>
          <w:lang w:val="en-US" w:eastAsia="zh-CN"/>
        </w:rPr>
        <w:t>其中安保人员69人，社会化用工人员4人，长期聘用人员2人</w:t>
      </w:r>
      <w:r>
        <w:rPr>
          <w:rFonts w:hint="eastAsia" w:ascii="仿宋_GB2312" w:eastAsia="仿宋_GB2312"/>
          <w:sz w:val="32"/>
          <w:szCs w:val="32"/>
        </w:rPr>
        <w:t>。</w:t>
      </w:r>
    </w:p>
    <w:p>
      <w:pPr>
        <w:spacing w:line="560" w:lineRule="exact"/>
        <w:ind w:firstLine="640" w:firstLineChars="200"/>
        <w:rPr>
          <w:rFonts w:hint="eastAsia" w:ascii="黑体" w:eastAsia="黑体"/>
          <w:color w:val="000000"/>
          <w:sz w:val="32"/>
          <w:szCs w:val="32"/>
          <w:lang w:eastAsia="zh-CN"/>
        </w:rPr>
      </w:pPr>
      <w:r>
        <w:rPr>
          <w:rFonts w:hint="eastAsia" w:ascii="黑体" w:eastAsia="黑体"/>
          <w:color w:val="000000"/>
          <w:sz w:val="32"/>
          <w:szCs w:val="32"/>
        </w:rPr>
        <w:t>二、收入</w:t>
      </w:r>
      <w:r>
        <w:rPr>
          <w:rFonts w:hint="eastAsia" w:ascii="黑体" w:eastAsia="黑体"/>
          <w:color w:val="000000"/>
          <w:sz w:val="32"/>
          <w:szCs w:val="32"/>
          <w:lang w:eastAsia="zh-CN"/>
        </w:rPr>
        <w:t>预算</w:t>
      </w:r>
      <w:r>
        <w:rPr>
          <w:rFonts w:hint="eastAsia" w:ascii="黑体" w:eastAsia="黑体"/>
          <w:color w:val="000000"/>
          <w:sz w:val="32"/>
          <w:szCs w:val="32"/>
        </w:rPr>
        <w:t>情况</w:t>
      </w:r>
      <w:r>
        <w:rPr>
          <w:rFonts w:hint="eastAsia" w:ascii="黑体" w:eastAsia="黑体"/>
          <w:color w:val="000000"/>
          <w:sz w:val="32"/>
          <w:szCs w:val="32"/>
          <w:lang w:eastAsia="zh-CN"/>
        </w:rPr>
        <w:t>说明</w:t>
      </w:r>
    </w:p>
    <w:p>
      <w:pPr>
        <w:spacing w:line="560" w:lineRule="exact"/>
        <w:ind w:firstLine="640" w:firstLineChars="200"/>
        <w:rPr>
          <w:rFonts w:hint="default" w:ascii="仿宋_GB2312" w:eastAsia="仿宋_GB2312" w:cs="Lucida Sans"/>
          <w:color w:val="auto"/>
          <w:sz w:val="32"/>
          <w:szCs w:val="32"/>
          <w:lang w:val="en-US" w:eastAsia="zh-CN"/>
        </w:rPr>
      </w:pPr>
      <w:r>
        <w:rPr>
          <w:rFonts w:hint="eastAsia" w:ascii="仿宋_GB2312" w:eastAsia="仿宋_GB2312" w:cs="Lucida Sans"/>
          <w:color w:val="auto"/>
          <w:sz w:val="32"/>
          <w:szCs w:val="32"/>
          <w:lang w:val="en-US" w:eastAsia="zh-CN"/>
        </w:rPr>
        <w:t>2023年度收入预算</w:t>
      </w:r>
      <w:r>
        <w:rPr>
          <w:rFonts w:hint="eastAsia" w:ascii="仿宋_GB2312" w:eastAsia="仿宋_GB2312" w:cs="Lucida Sans"/>
          <w:color w:val="auto"/>
          <w:sz w:val="32"/>
          <w:szCs w:val="32"/>
          <w:lang w:eastAsia="zh-CN"/>
        </w:rPr>
        <w:t>1</w:t>
      </w:r>
      <w:r>
        <w:rPr>
          <w:rFonts w:hint="eastAsia" w:ascii="仿宋_GB2312" w:eastAsia="仿宋_GB2312" w:cs="Lucida Sans"/>
          <w:color w:val="auto"/>
          <w:sz w:val="32"/>
          <w:szCs w:val="32"/>
          <w:lang w:val="en-US" w:eastAsia="zh-CN"/>
        </w:rPr>
        <w:t>0078.73</w:t>
      </w:r>
      <w:r>
        <w:rPr>
          <w:rFonts w:hint="eastAsia" w:ascii="仿宋_GB2312" w:eastAsia="仿宋_GB2312" w:cs="Lucida Sans"/>
          <w:color w:val="auto"/>
          <w:sz w:val="32"/>
          <w:szCs w:val="32"/>
        </w:rPr>
        <w:t>万元</w:t>
      </w:r>
      <w:r>
        <w:rPr>
          <w:rFonts w:hint="eastAsia" w:ascii="仿宋_GB2312" w:eastAsia="仿宋_GB2312" w:cs="Lucida Sans"/>
          <w:color w:val="auto"/>
          <w:sz w:val="32"/>
          <w:szCs w:val="32"/>
          <w:lang w:eastAsia="zh-CN"/>
        </w:rPr>
        <w:t>，</w:t>
      </w:r>
      <w:r>
        <w:rPr>
          <w:rFonts w:hint="eastAsia" w:ascii="仿宋_GB2312" w:eastAsia="仿宋_GB2312"/>
          <w:color w:val="auto"/>
          <w:sz w:val="32"/>
          <w:szCs w:val="32"/>
        </w:rPr>
        <w:t>比</w:t>
      </w:r>
      <w:r>
        <w:rPr>
          <w:rFonts w:hint="eastAsia" w:ascii="仿宋_GB2312" w:eastAsia="仿宋_GB2312"/>
          <w:color w:val="auto"/>
          <w:sz w:val="32"/>
          <w:szCs w:val="32"/>
          <w:lang w:eastAsia="zh-CN"/>
        </w:rPr>
        <w:t>2022年年初预算数3</w:t>
      </w:r>
      <w:r>
        <w:rPr>
          <w:rFonts w:hint="eastAsia" w:ascii="仿宋_GB2312" w:eastAsia="仿宋_GB2312"/>
          <w:color w:val="auto"/>
          <w:sz w:val="32"/>
          <w:szCs w:val="32"/>
          <w:lang w:val="en-US" w:eastAsia="zh-CN"/>
        </w:rPr>
        <w:t>297.77</w:t>
      </w:r>
      <w:r>
        <w:rPr>
          <w:rFonts w:hint="eastAsia" w:ascii="仿宋_GB2312" w:eastAsia="仿宋_GB2312"/>
          <w:color w:val="auto"/>
          <w:sz w:val="32"/>
          <w:szCs w:val="32"/>
        </w:rPr>
        <w:t>万元增加</w:t>
      </w:r>
      <w:r>
        <w:rPr>
          <w:rFonts w:hint="eastAsia" w:ascii="仿宋_GB2312" w:eastAsia="仿宋_GB2312"/>
          <w:color w:val="auto"/>
          <w:sz w:val="32"/>
          <w:szCs w:val="32"/>
          <w:lang w:val="en-US" w:eastAsia="zh-CN"/>
        </w:rPr>
        <w:t>6780.96</w:t>
      </w:r>
      <w:r>
        <w:rPr>
          <w:rFonts w:hint="eastAsia" w:ascii="仿宋_GB2312" w:eastAsia="仿宋_GB2312"/>
          <w:color w:val="auto"/>
          <w:sz w:val="32"/>
          <w:szCs w:val="32"/>
        </w:rPr>
        <w:t>万元，增长</w:t>
      </w:r>
      <w:r>
        <w:rPr>
          <w:rFonts w:hint="eastAsia" w:ascii="仿宋_GB2312" w:eastAsia="仿宋_GB2312"/>
          <w:color w:val="auto"/>
          <w:sz w:val="32"/>
          <w:szCs w:val="32"/>
          <w:lang w:val="en-US" w:eastAsia="zh-CN"/>
        </w:rPr>
        <w:t>205.62</w:t>
      </w:r>
      <w:r>
        <w:rPr>
          <w:rFonts w:hint="eastAsia" w:ascii="仿宋_GB2312" w:eastAsia="仿宋_GB2312"/>
          <w:color w:val="auto"/>
          <w:sz w:val="32"/>
          <w:szCs w:val="32"/>
        </w:rPr>
        <w:t>%。</w:t>
      </w:r>
      <w:r>
        <w:rPr>
          <w:rFonts w:hint="eastAsia" w:ascii="仿宋_GB2312" w:eastAsia="仿宋_GB2312"/>
          <w:color w:val="000000"/>
          <w:sz w:val="32"/>
          <w:szCs w:val="32"/>
        </w:rPr>
        <w:t>主要原因是本年</w:t>
      </w:r>
      <w:r>
        <w:rPr>
          <w:rFonts w:hint="eastAsia" w:ascii="仿宋_GB2312" w:hAnsi="仿宋_GB2312" w:eastAsia="仿宋_GB2312" w:cs="仿宋_GB2312"/>
          <w:color w:val="000000"/>
          <w:sz w:val="32"/>
          <w:szCs w:val="32"/>
        </w:rPr>
        <w:t>为落</w:t>
      </w:r>
      <w:r>
        <w:rPr>
          <w:rFonts w:hint="eastAsia" w:ascii="仿宋_GB2312" w:hAnsi="仿宋_GB2312" w:eastAsia="仿宋_GB2312" w:cs="仿宋_GB2312"/>
          <w:sz w:val="32"/>
          <w:szCs w:val="32"/>
        </w:rPr>
        <w:t>实市委、市政府重大决策和政策要求，</w:t>
      </w:r>
      <w:r>
        <w:rPr>
          <w:rFonts w:hint="eastAsia" w:ascii="仿宋_GB2312" w:hAnsi="仿宋_GB2312" w:eastAsia="仿宋_GB2312" w:cs="仿宋_GB2312"/>
          <w:sz w:val="32"/>
          <w:szCs w:val="32"/>
          <w:lang w:val="en-US" w:eastAsia="zh-CN"/>
        </w:rPr>
        <w:t>增加</w:t>
      </w:r>
      <w:r>
        <w:rPr>
          <w:rFonts w:hint="eastAsia" w:ascii="仿宋_GB2312" w:hAnsi="仿宋_GB2312" w:eastAsia="仿宋_GB2312" w:cs="仿宋_GB2312"/>
          <w:color w:val="000000"/>
          <w:sz w:val="32"/>
          <w:szCs w:val="32"/>
        </w:rPr>
        <w:t>大葆台改扩建</w:t>
      </w:r>
      <w:r>
        <w:rPr>
          <w:rFonts w:hint="eastAsia" w:ascii="仿宋_GB2312" w:hAnsi="仿宋_GB2312" w:eastAsia="仿宋_GB2312" w:cs="仿宋_GB2312"/>
          <w:sz w:val="32"/>
          <w:szCs w:val="32"/>
        </w:rPr>
        <w:t>重点工作项目，资金量比上年增加较大。</w:t>
      </w:r>
    </w:p>
    <w:p>
      <w:pPr>
        <w:spacing w:line="560" w:lineRule="exact"/>
        <w:ind w:firstLine="640" w:firstLineChars="200"/>
        <w:rPr>
          <w:rFonts w:hint="eastAsia" w:ascii="方正楷体_GB2312" w:eastAsia="方正楷体_GB2312"/>
          <w:color w:val="auto"/>
          <w:sz w:val="32"/>
          <w:szCs w:val="32"/>
          <w:lang w:eastAsia="zh-CN"/>
        </w:rPr>
      </w:pPr>
      <w:r>
        <w:rPr>
          <w:rFonts w:hint="eastAsia" w:ascii="方正楷体_GB2312" w:eastAsia="方正楷体_GB2312"/>
          <w:color w:val="auto"/>
          <w:sz w:val="32"/>
          <w:szCs w:val="32"/>
        </w:rPr>
        <w:t>（一）</w:t>
      </w:r>
      <w:r>
        <w:rPr>
          <w:rFonts w:hint="eastAsia" w:ascii="方正楷体_GB2312" w:eastAsia="方正楷体_GB2312"/>
          <w:color w:val="auto"/>
          <w:sz w:val="32"/>
          <w:szCs w:val="32"/>
          <w:lang w:eastAsia="zh-CN"/>
        </w:rPr>
        <w:t>本年财政拨款收入</w:t>
      </w:r>
      <w:r>
        <w:rPr>
          <w:rFonts w:hint="default" w:ascii="仿宋_GB2312" w:hAnsi="Times New Roman" w:eastAsia="仿宋_GB2312" w:cs="Lucida Sans"/>
          <w:color w:val="auto"/>
          <w:sz w:val="32"/>
          <w:szCs w:val="32"/>
          <w:lang w:eastAsia="zh-CN"/>
        </w:rPr>
        <w:t>3</w:t>
      </w:r>
      <w:r>
        <w:rPr>
          <w:rFonts w:hint="default" w:ascii="仿宋_GB2312" w:hAnsi="Times New Roman" w:eastAsia="仿宋_GB2312" w:cs="Lucida Sans"/>
          <w:color w:val="auto"/>
          <w:sz w:val="32"/>
          <w:szCs w:val="32"/>
          <w:lang w:val="en-US" w:eastAsia="zh-CN"/>
        </w:rPr>
        <w:t>199.95</w:t>
      </w:r>
      <w:r>
        <w:rPr>
          <w:rFonts w:hint="eastAsia" w:ascii="方正楷体_GB2312" w:eastAsia="方正楷体_GB2312"/>
          <w:color w:val="auto"/>
          <w:sz w:val="32"/>
          <w:szCs w:val="32"/>
          <w:lang w:eastAsia="zh-CN"/>
        </w:rPr>
        <w:t>万元</w:t>
      </w:r>
    </w:p>
    <w:p>
      <w:pPr>
        <w:spacing w:line="560" w:lineRule="exact"/>
        <w:ind w:firstLine="640" w:firstLineChars="200"/>
        <w:rPr>
          <w:rFonts w:hint="eastAsia" w:ascii="仿宋_GB2312" w:eastAsia="仿宋_GB2312" w:cs="Lucida Sans"/>
          <w:color w:val="auto"/>
          <w:sz w:val="32"/>
          <w:szCs w:val="32"/>
        </w:rPr>
      </w:pPr>
      <w:r>
        <w:rPr>
          <w:rFonts w:hint="eastAsia" w:ascii="仿宋_GB2312" w:eastAsia="仿宋_GB2312" w:cs="Lucida Sans"/>
          <w:color w:val="auto"/>
          <w:sz w:val="32"/>
          <w:szCs w:val="32"/>
          <w:lang w:val="en-US" w:eastAsia="zh-CN"/>
        </w:rPr>
        <w:t>1.</w:t>
      </w:r>
      <w:r>
        <w:rPr>
          <w:rFonts w:hint="eastAsia" w:ascii="仿宋_GB2312" w:eastAsia="仿宋_GB2312" w:cs="Lucida Sans"/>
          <w:color w:val="auto"/>
          <w:sz w:val="32"/>
          <w:szCs w:val="32"/>
          <w:lang w:eastAsia="zh-CN"/>
        </w:rPr>
        <w:t>一般公共预算拨款收入3</w:t>
      </w:r>
      <w:r>
        <w:rPr>
          <w:rFonts w:hint="eastAsia" w:ascii="仿宋_GB2312" w:eastAsia="仿宋_GB2312" w:cs="Lucida Sans"/>
          <w:color w:val="auto"/>
          <w:sz w:val="32"/>
          <w:szCs w:val="32"/>
          <w:lang w:val="en-US" w:eastAsia="zh-CN"/>
        </w:rPr>
        <w:t>199.95</w:t>
      </w:r>
      <w:r>
        <w:rPr>
          <w:rFonts w:hint="eastAsia" w:ascii="仿宋_GB2312" w:eastAsia="仿宋_GB2312" w:cs="Lucida Sans"/>
          <w:color w:val="auto"/>
          <w:sz w:val="32"/>
          <w:szCs w:val="32"/>
        </w:rPr>
        <w:t>万元。</w:t>
      </w:r>
    </w:p>
    <w:p>
      <w:pPr>
        <w:spacing w:line="560" w:lineRule="exact"/>
        <w:ind w:firstLine="640" w:firstLineChars="200"/>
        <w:rPr>
          <w:rFonts w:hint="eastAsia" w:ascii="仿宋_GB2312" w:eastAsia="仿宋_GB2312" w:cs="Lucida Sans"/>
          <w:color w:val="auto"/>
          <w:sz w:val="32"/>
          <w:szCs w:val="32"/>
        </w:rPr>
      </w:pPr>
      <w:r>
        <w:rPr>
          <w:rFonts w:hint="eastAsia" w:ascii="仿宋_GB2312" w:eastAsia="仿宋_GB2312" w:cs="Lucida Sans"/>
          <w:color w:val="auto"/>
          <w:sz w:val="32"/>
          <w:szCs w:val="32"/>
          <w:lang w:val="en-US" w:eastAsia="zh-CN"/>
        </w:rPr>
        <w:t>2.政府性基金</w:t>
      </w:r>
      <w:r>
        <w:rPr>
          <w:rFonts w:hint="eastAsia" w:ascii="仿宋_GB2312" w:eastAsia="仿宋_GB2312" w:cs="Lucida Sans"/>
          <w:color w:val="auto"/>
          <w:sz w:val="32"/>
          <w:szCs w:val="32"/>
          <w:lang w:eastAsia="zh-CN"/>
        </w:rPr>
        <w:t>预算拨款收入0</w:t>
      </w:r>
      <w:r>
        <w:rPr>
          <w:rFonts w:hint="eastAsia" w:ascii="仿宋_GB2312" w:eastAsia="仿宋_GB2312" w:cs="Lucida Sans"/>
          <w:color w:val="auto"/>
          <w:sz w:val="32"/>
          <w:szCs w:val="32"/>
        </w:rPr>
        <w:t>万元。</w:t>
      </w:r>
    </w:p>
    <w:p>
      <w:pPr>
        <w:numPr>
          <w:ilvl w:val="0"/>
          <w:numId w:val="0"/>
        </w:numPr>
        <w:spacing w:line="560" w:lineRule="exact"/>
        <w:ind w:firstLine="640" w:firstLineChars="200"/>
        <w:rPr>
          <w:rFonts w:hint="eastAsia" w:ascii="仿宋_GB2312" w:eastAsia="仿宋_GB2312" w:cs="Lucida Sans"/>
          <w:color w:val="auto"/>
          <w:sz w:val="32"/>
          <w:szCs w:val="32"/>
        </w:rPr>
      </w:pPr>
      <w:r>
        <w:rPr>
          <w:rFonts w:hint="eastAsia" w:ascii="仿宋_GB2312" w:eastAsia="仿宋_GB2312" w:cs="Lucida Sans"/>
          <w:color w:val="auto"/>
          <w:sz w:val="32"/>
          <w:szCs w:val="32"/>
          <w:lang w:val="en-US" w:eastAsia="zh-CN"/>
        </w:rPr>
        <w:t>3.国有资本经营</w:t>
      </w:r>
      <w:r>
        <w:rPr>
          <w:rFonts w:hint="eastAsia" w:ascii="仿宋_GB2312" w:eastAsia="仿宋_GB2312" w:cs="Lucida Sans"/>
          <w:color w:val="auto"/>
          <w:sz w:val="32"/>
          <w:szCs w:val="32"/>
          <w:lang w:eastAsia="zh-CN"/>
        </w:rPr>
        <w:t>预算拨款收入</w:t>
      </w:r>
      <w:r>
        <w:rPr>
          <w:rFonts w:hint="eastAsia" w:ascii="仿宋_GB2312" w:eastAsia="仿宋_GB2312" w:cs="Lucida Sans"/>
          <w:color w:val="auto"/>
          <w:sz w:val="32"/>
          <w:szCs w:val="32"/>
          <w:lang w:val="en-US" w:eastAsia="zh-CN"/>
        </w:rPr>
        <w:t>0</w:t>
      </w:r>
      <w:r>
        <w:rPr>
          <w:rFonts w:hint="eastAsia" w:ascii="仿宋_GB2312" w:eastAsia="仿宋_GB2312" w:cs="Lucida Sans"/>
          <w:color w:val="auto"/>
          <w:sz w:val="32"/>
          <w:szCs w:val="32"/>
        </w:rPr>
        <w:t>万元。</w:t>
      </w:r>
    </w:p>
    <w:p>
      <w:pPr>
        <w:spacing w:line="560" w:lineRule="exact"/>
        <w:ind w:firstLine="640" w:firstLineChars="200"/>
        <w:rPr>
          <w:rFonts w:hint="eastAsia" w:ascii="方正楷体_GB2312" w:eastAsia="方正楷体_GB2312" w:cs="Lucida Sans"/>
          <w:color w:val="auto"/>
          <w:sz w:val="32"/>
          <w:szCs w:val="32"/>
          <w:lang w:eastAsia="zh-CN"/>
        </w:rPr>
      </w:pPr>
      <w:r>
        <w:rPr>
          <w:rFonts w:hint="eastAsia" w:ascii="方正楷体_GB2312" w:eastAsia="方正楷体_GB2312"/>
          <w:color w:val="auto"/>
          <w:sz w:val="32"/>
          <w:szCs w:val="32"/>
        </w:rPr>
        <w:t>（</w:t>
      </w:r>
      <w:r>
        <w:rPr>
          <w:rFonts w:hint="eastAsia" w:ascii="方正楷体_GB2312" w:eastAsia="方正楷体_GB2312"/>
          <w:color w:val="auto"/>
          <w:sz w:val="32"/>
          <w:szCs w:val="32"/>
          <w:lang w:eastAsia="zh-CN"/>
        </w:rPr>
        <w:t>二</w:t>
      </w:r>
      <w:r>
        <w:rPr>
          <w:rFonts w:hint="eastAsia" w:ascii="方正楷体_GB2312" w:eastAsia="方正楷体_GB2312"/>
          <w:color w:val="auto"/>
          <w:sz w:val="32"/>
          <w:szCs w:val="32"/>
        </w:rPr>
        <w:t>）</w:t>
      </w:r>
      <w:r>
        <w:rPr>
          <w:rFonts w:hint="eastAsia" w:ascii="方正楷体_GB2312" w:eastAsia="方正楷体_GB2312"/>
          <w:color w:val="auto"/>
          <w:sz w:val="32"/>
          <w:szCs w:val="32"/>
          <w:lang w:eastAsia="zh-CN"/>
        </w:rPr>
        <w:t>本年其他资金</w:t>
      </w:r>
      <w:r>
        <w:rPr>
          <w:rFonts w:hint="eastAsia" w:ascii="方正楷体_GB2312" w:eastAsia="方正楷体_GB2312" w:cs="Lucida Sans"/>
          <w:color w:val="auto"/>
          <w:sz w:val="32"/>
          <w:szCs w:val="32"/>
          <w:lang w:eastAsia="zh-CN"/>
        </w:rPr>
        <w:t>收入2</w:t>
      </w:r>
      <w:r>
        <w:rPr>
          <w:rFonts w:hint="eastAsia" w:ascii="方正楷体_GB2312" w:eastAsia="方正楷体_GB2312" w:cs="Lucida Sans"/>
          <w:color w:val="auto"/>
          <w:sz w:val="32"/>
          <w:szCs w:val="32"/>
          <w:lang w:val="en-US" w:eastAsia="zh-CN"/>
        </w:rPr>
        <w:t>7</w:t>
      </w:r>
      <w:r>
        <w:rPr>
          <w:rFonts w:hint="eastAsia" w:ascii="方正楷体_GB2312" w:eastAsia="方正楷体_GB2312" w:cs="Lucida Sans"/>
          <w:color w:val="auto"/>
          <w:sz w:val="32"/>
          <w:szCs w:val="32"/>
          <w:lang w:eastAsia="zh-CN"/>
        </w:rPr>
        <w:t>万元</w:t>
      </w:r>
    </w:p>
    <w:p>
      <w:pPr>
        <w:numPr>
          <w:ilvl w:val="0"/>
          <w:numId w:val="0"/>
        </w:numPr>
        <w:spacing w:line="560" w:lineRule="exact"/>
        <w:ind w:firstLine="640" w:firstLineChars="200"/>
        <w:rPr>
          <w:rFonts w:hint="default" w:ascii="仿宋_GB2312" w:eastAsia="仿宋_GB2312" w:cs="Lucida Sans"/>
          <w:color w:val="auto"/>
          <w:sz w:val="32"/>
          <w:szCs w:val="32"/>
          <w:lang w:val="en-US" w:eastAsia="zh-CN"/>
        </w:rPr>
      </w:pPr>
      <w:r>
        <w:rPr>
          <w:rFonts w:hint="eastAsia" w:ascii="仿宋_GB2312" w:eastAsia="仿宋_GB2312" w:cs="Lucida Sans"/>
          <w:color w:val="auto"/>
          <w:sz w:val="32"/>
          <w:szCs w:val="32"/>
          <w:lang w:val="en-US" w:eastAsia="zh-CN"/>
        </w:rPr>
        <w:t>4.财政专户管理资金收入</w:t>
      </w:r>
      <w:r>
        <w:rPr>
          <w:rFonts w:hint="eastAsia" w:ascii="仿宋_GB2312" w:eastAsia="仿宋_GB2312" w:cs="Lucida Sans"/>
          <w:color w:val="auto"/>
          <w:sz w:val="32"/>
          <w:szCs w:val="32"/>
          <w:lang w:eastAsia="zh-CN"/>
        </w:rPr>
        <w:t>0</w:t>
      </w:r>
      <w:r>
        <w:rPr>
          <w:rFonts w:hint="eastAsia" w:ascii="仿宋_GB2312" w:eastAsia="仿宋_GB2312" w:cs="Lucida Sans"/>
          <w:color w:val="auto"/>
          <w:sz w:val="32"/>
          <w:szCs w:val="32"/>
        </w:rPr>
        <w:t>万元。</w:t>
      </w:r>
    </w:p>
    <w:p>
      <w:pPr>
        <w:numPr>
          <w:ilvl w:val="0"/>
          <w:numId w:val="0"/>
        </w:numPr>
        <w:spacing w:line="560" w:lineRule="exact"/>
        <w:ind w:firstLine="640" w:firstLineChars="200"/>
        <w:rPr>
          <w:rFonts w:hint="default" w:ascii="仿宋_GB2312" w:eastAsia="仿宋_GB2312" w:cs="Lucida Sans"/>
          <w:color w:val="auto"/>
          <w:sz w:val="32"/>
          <w:szCs w:val="32"/>
          <w:lang w:val="en-US" w:eastAsia="zh-CN"/>
        </w:rPr>
      </w:pPr>
      <w:r>
        <w:rPr>
          <w:rFonts w:hint="eastAsia" w:ascii="仿宋_GB2312" w:eastAsia="仿宋_GB2312" w:cs="Lucida Sans"/>
          <w:color w:val="auto"/>
          <w:sz w:val="32"/>
          <w:szCs w:val="32"/>
          <w:lang w:val="en-US" w:eastAsia="zh-CN"/>
        </w:rPr>
        <w:t>5.事业收入</w:t>
      </w:r>
      <w:r>
        <w:rPr>
          <w:rFonts w:hint="eastAsia" w:ascii="仿宋_GB2312" w:eastAsia="仿宋_GB2312" w:cs="Lucida Sans"/>
          <w:color w:val="auto"/>
          <w:sz w:val="32"/>
          <w:szCs w:val="32"/>
          <w:lang w:eastAsia="zh-CN"/>
        </w:rPr>
        <w:t>0</w:t>
      </w:r>
      <w:r>
        <w:rPr>
          <w:rFonts w:hint="eastAsia" w:ascii="仿宋_GB2312" w:eastAsia="仿宋_GB2312" w:cs="Lucida Sans"/>
          <w:color w:val="auto"/>
          <w:sz w:val="32"/>
          <w:szCs w:val="32"/>
        </w:rPr>
        <w:t>万元。</w:t>
      </w:r>
    </w:p>
    <w:p>
      <w:pPr>
        <w:numPr>
          <w:ilvl w:val="0"/>
          <w:numId w:val="0"/>
        </w:numPr>
        <w:spacing w:line="560" w:lineRule="exact"/>
        <w:ind w:firstLine="640" w:firstLineChars="200"/>
        <w:rPr>
          <w:rFonts w:hint="default" w:ascii="仿宋_GB2312" w:eastAsia="仿宋_GB2312" w:cs="Lucida Sans"/>
          <w:color w:val="auto"/>
          <w:sz w:val="32"/>
          <w:szCs w:val="32"/>
          <w:lang w:val="en-US" w:eastAsia="zh-CN"/>
        </w:rPr>
      </w:pPr>
      <w:r>
        <w:rPr>
          <w:rFonts w:hint="eastAsia" w:ascii="仿宋_GB2312" w:eastAsia="仿宋_GB2312" w:cs="Lucida Sans"/>
          <w:color w:val="auto"/>
          <w:sz w:val="32"/>
          <w:szCs w:val="32"/>
          <w:lang w:val="en-US" w:eastAsia="zh-CN"/>
        </w:rPr>
        <w:t>6.上级补助收入</w:t>
      </w:r>
      <w:r>
        <w:rPr>
          <w:rFonts w:hint="eastAsia" w:ascii="仿宋_GB2312" w:eastAsia="仿宋_GB2312" w:cs="Lucida Sans"/>
          <w:color w:val="auto"/>
          <w:sz w:val="32"/>
          <w:szCs w:val="32"/>
          <w:lang w:eastAsia="zh-CN"/>
        </w:rPr>
        <w:t>0</w:t>
      </w:r>
      <w:r>
        <w:rPr>
          <w:rFonts w:hint="eastAsia" w:ascii="仿宋_GB2312" w:eastAsia="仿宋_GB2312" w:cs="Lucida Sans"/>
          <w:color w:val="auto"/>
          <w:sz w:val="32"/>
          <w:szCs w:val="32"/>
        </w:rPr>
        <w:t>万元。</w:t>
      </w:r>
    </w:p>
    <w:p>
      <w:pPr>
        <w:numPr>
          <w:ilvl w:val="0"/>
          <w:numId w:val="0"/>
        </w:numPr>
        <w:spacing w:line="560" w:lineRule="exact"/>
        <w:ind w:firstLine="640" w:firstLineChars="200"/>
        <w:rPr>
          <w:rFonts w:hint="default" w:ascii="仿宋_GB2312" w:eastAsia="仿宋_GB2312" w:cs="Lucida Sans"/>
          <w:color w:val="auto"/>
          <w:sz w:val="32"/>
          <w:szCs w:val="32"/>
          <w:lang w:val="en-US" w:eastAsia="zh-CN"/>
        </w:rPr>
      </w:pPr>
      <w:r>
        <w:rPr>
          <w:rFonts w:hint="eastAsia" w:ascii="仿宋_GB2312" w:eastAsia="仿宋_GB2312" w:cs="Lucida Sans"/>
          <w:color w:val="auto"/>
          <w:sz w:val="32"/>
          <w:szCs w:val="32"/>
          <w:lang w:val="en-US" w:eastAsia="zh-CN"/>
        </w:rPr>
        <w:t>7.附属单位上缴收入</w:t>
      </w:r>
      <w:r>
        <w:rPr>
          <w:rFonts w:hint="eastAsia" w:ascii="仿宋_GB2312" w:eastAsia="仿宋_GB2312" w:cs="Lucida Sans"/>
          <w:color w:val="auto"/>
          <w:sz w:val="32"/>
          <w:szCs w:val="32"/>
          <w:lang w:eastAsia="zh-CN"/>
        </w:rPr>
        <w:t>0</w:t>
      </w:r>
      <w:r>
        <w:rPr>
          <w:rFonts w:hint="eastAsia" w:ascii="仿宋_GB2312" w:eastAsia="仿宋_GB2312" w:cs="Lucida Sans"/>
          <w:color w:val="auto"/>
          <w:sz w:val="32"/>
          <w:szCs w:val="32"/>
        </w:rPr>
        <w:t>万元。</w:t>
      </w:r>
    </w:p>
    <w:p>
      <w:pPr>
        <w:numPr>
          <w:ilvl w:val="0"/>
          <w:numId w:val="0"/>
        </w:numPr>
        <w:spacing w:line="560" w:lineRule="exact"/>
        <w:ind w:firstLine="640" w:firstLineChars="200"/>
        <w:rPr>
          <w:rFonts w:hint="default" w:ascii="仿宋_GB2312" w:eastAsia="仿宋_GB2312" w:cs="Lucida Sans"/>
          <w:color w:val="auto"/>
          <w:sz w:val="32"/>
          <w:szCs w:val="32"/>
          <w:lang w:val="en-US" w:eastAsia="zh-CN"/>
        </w:rPr>
      </w:pPr>
      <w:r>
        <w:rPr>
          <w:rFonts w:hint="eastAsia" w:ascii="仿宋_GB2312" w:eastAsia="仿宋_GB2312" w:cs="Lucida Sans"/>
          <w:color w:val="auto"/>
          <w:sz w:val="32"/>
          <w:szCs w:val="32"/>
          <w:lang w:val="en-US" w:eastAsia="zh-CN"/>
        </w:rPr>
        <w:t>8.事业单位经营收入</w:t>
      </w:r>
      <w:r>
        <w:rPr>
          <w:rFonts w:hint="eastAsia" w:ascii="仿宋_GB2312" w:eastAsia="仿宋_GB2312" w:cs="Lucida Sans"/>
          <w:color w:val="auto"/>
          <w:sz w:val="32"/>
          <w:szCs w:val="32"/>
          <w:lang w:eastAsia="zh-CN"/>
        </w:rPr>
        <w:t>0</w:t>
      </w:r>
      <w:r>
        <w:rPr>
          <w:rFonts w:hint="eastAsia" w:ascii="仿宋_GB2312" w:eastAsia="仿宋_GB2312" w:cs="Lucida Sans"/>
          <w:color w:val="auto"/>
          <w:sz w:val="32"/>
          <w:szCs w:val="32"/>
        </w:rPr>
        <w:t>万元。</w:t>
      </w:r>
    </w:p>
    <w:p>
      <w:pPr>
        <w:numPr>
          <w:ilvl w:val="0"/>
          <w:numId w:val="0"/>
        </w:numPr>
        <w:spacing w:line="560" w:lineRule="exact"/>
        <w:ind w:firstLine="640" w:firstLineChars="200"/>
        <w:rPr>
          <w:rFonts w:hint="eastAsia" w:ascii="仿宋_GB2312" w:eastAsia="仿宋_GB2312" w:cs="Lucida Sans"/>
          <w:color w:val="auto"/>
          <w:sz w:val="32"/>
          <w:szCs w:val="32"/>
        </w:rPr>
      </w:pPr>
      <w:r>
        <w:rPr>
          <w:rFonts w:hint="eastAsia" w:ascii="仿宋_GB2312" w:eastAsia="仿宋_GB2312" w:cs="Lucida Sans"/>
          <w:color w:val="auto"/>
          <w:sz w:val="32"/>
          <w:szCs w:val="32"/>
          <w:lang w:val="en-US" w:eastAsia="zh-CN"/>
        </w:rPr>
        <w:t>9.其他收入</w:t>
      </w:r>
      <w:r>
        <w:rPr>
          <w:rFonts w:hint="eastAsia" w:ascii="仿宋_GB2312" w:eastAsia="仿宋_GB2312" w:cs="Lucida Sans"/>
          <w:color w:val="auto"/>
          <w:sz w:val="32"/>
          <w:szCs w:val="32"/>
          <w:lang w:eastAsia="zh-CN"/>
        </w:rPr>
        <w:t>2</w:t>
      </w:r>
      <w:r>
        <w:rPr>
          <w:rFonts w:hint="eastAsia" w:ascii="仿宋_GB2312" w:eastAsia="仿宋_GB2312" w:cs="Lucida Sans"/>
          <w:color w:val="auto"/>
          <w:sz w:val="32"/>
          <w:szCs w:val="32"/>
          <w:lang w:val="en-US" w:eastAsia="zh-CN"/>
        </w:rPr>
        <w:t>7</w:t>
      </w:r>
      <w:r>
        <w:rPr>
          <w:rFonts w:hint="eastAsia" w:ascii="仿宋_GB2312" w:eastAsia="仿宋_GB2312" w:cs="Lucida Sans"/>
          <w:color w:val="auto"/>
          <w:sz w:val="32"/>
          <w:szCs w:val="32"/>
        </w:rPr>
        <w:t>万元。</w:t>
      </w:r>
    </w:p>
    <w:p>
      <w:pPr>
        <w:spacing w:line="560" w:lineRule="exact"/>
        <w:ind w:firstLine="640" w:firstLineChars="200"/>
        <w:rPr>
          <w:rFonts w:hint="eastAsia" w:ascii="方正楷体_GB2312" w:eastAsia="方正楷体_GB2312" w:cs="Lucida Sans"/>
          <w:color w:val="auto"/>
          <w:sz w:val="32"/>
          <w:szCs w:val="32"/>
          <w:lang w:eastAsia="zh-CN"/>
        </w:rPr>
      </w:pPr>
      <w:r>
        <w:rPr>
          <w:rFonts w:hint="eastAsia" w:ascii="方正楷体_GB2312" w:eastAsia="方正楷体_GB2312"/>
          <w:color w:val="auto"/>
          <w:sz w:val="32"/>
          <w:szCs w:val="32"/>
        </w:rPr>
        <w:t>（</w:t>
      </w:r>
      <w:r>
        <w:rPr>
          <w:rFonts w:hint="eastAsia" w:ascii="方正楷体_GB2312" w:eastAsia="方正楷体_GB2312"/>
          <w:color w:val="auto"/>
          <w:sz w:val="32"/>
          <w:szCs w:val="32"/>
          <w:lang w:eastAsia="zh-CN"/>
        </w:rPr>
        <w:t>三</w:t>
      </w:r>
      <w:r>
        <w:rPr>
          <w:rFonts w:hint="eastAsia" w:ascii="方正楷体_GB2312" w:eastAsia="方正楷体_GB2312"/>
          <w:color w:val="auto"/>
          <w:sz w:val="32"/>
          <w:szCs w:val="32"/>
        </w:rPr>
        <w:t>）</w:t>
      </w:r>
      <w:r>
        <w:rPr>
          <w:rFonts w:hint="eastAsia" w:ascii="方正楷体_GB2312" w:eastAsia="方正楷体_GB2312"/>
          <w:color w:val="auto"/>
          <w:sz w:val="32"/>
          <w:szCs w:val="32"/>
          <w:lang w:eastAsia="zh-CN"/>
        </w:rPr>
        <w:t>上年结转结余</w:t>
      </w:r>
      <w:r>
        <w:rPr>
          <w:rFonts w:hint="default" w:ascii="仿宋_GB2312" w:hAnsi="Times New Roman" w:eastAsia="仿宋_GB2312" w:cs="Lucida Sans"/>
          <w:color w:val="auto"/>
          <w:sz w:val="32"/>
          <w:szCs w:val="32"/>
          <w:lang w:eastAsia="zh-CN"/>
        </w:rPr>
        <w:t>6</w:t>
      </w:r>
      <w:r>
        <w:rPr>
          <w:rFonts w:hint="default" w:ascii="仿宋_GB2312" w:hAnsi="Times New Roman" w:eastAsia="仿宋_GB2312" w:cs="Lucida Sans"/>
          <w:color w:val="auto"/>
          <w:sz w:val="32"/>
          <w:szCs w:val="32"/>
          <w:lang w:val="en-US" w:eastAsia="zh-CN"/>
        </w:rPr>
        <w:t>851.78</w:t>
      </w:r>
      <w:r>
        <w:rPr>
          <w:rFonts w:hint="eastAsia" w:ascii="方正楷体_GB2312" w:eastAsia="方正楷体_GB2312" w:cs="Lucida Sans"/>
          <w:color w:val="auto"/>
          <w:sz w:val="32"/>
          <w:szCs w:val="32"/>
          <w:lang w:eastAsia="zh-CN"/>
        </w:rPr>
        <w:t>万元</w:t>
      </w:r>
    </w:p>
    <w:p>
      <w:pPr>
        <w:spacing w:line="560" w:lineRule="exact"/>
        <w:ind w:firstLine="640" w:firstLineChars="200"/>
        <w:rPr>
          <w:rFonts w:hint="eastAsia" w:ascii="仿宋_GB2312" w:eastAsia="仿宋_GB2312" w:cs="Lucida Sans"/>
          <w:color w:val="auto"/>
          <w:sz w:val="32"/>
          <w:szCs w:val="32"/>
        </w:rPr>
      </w:pPr>
      <w:r>
        <w:rPr>
          <w:rFonts w:hint="eastAsia" w:ascii="仿宋_GB2312" w:eastAsia="仿宋_GB2312" w:cs="Lucida Sans"/>
          <w:color w:val="auto"/>
          <w:sz w:val="32"/>
          <w:szCs w:val="32"/>
          <w:lang w:val="en-US" w:eastAsia="zh-CN"/>
        </w:rPr>
        <w:t>10.上年结转结余</w:t>
      </w:r>
      <w:r>
        <w:rPr>
          <w:rFonts w:hint="eastAsia" w:ascii="仿宋_GB2312" w:eastAsia="仿宋_GB2312" w:cs="Lucida Sans"/>
          <w:color w:val="auto"/>
          <w:sz w:val="32"/>
          <w:szCs w:val="32"/>
          <w:lang w:eastAsia="zh-CN"/>
        </w:rPr>
        <w:t>6</w:t>
      </w:r>
      <w:r>
        <w:rPr>
          <w:rFonts w:hint="eastAsia" w:ascii="仿宋_GB2312" w:eastAsia="仿宋_GB2312" w:cs="Lucida Sans"/>
          <w:color w:val="auto"/>
          <w:sz w:val="32"/>
          <w:szCs w:val="32"/>
          <w:lang w:val="en-US" w:eastAsia="zh-CN"/>
        </w:rPr>
        <w:t>851.78</w:t>
      </w:r>
      <w:r>
        <w:rPr>
          <w:rFonts w:hint="eastAsia" w:ascii="仿宋_GB2312" w:eastAsia="仿宋_GB2312" w:cs="Lucida Sans"/>
          <w:color w:val="auto"/>
          <w:sz w:val="32"/>
          <w:szCs w:val="32"/>
        </w:rPr>
        <w:t>万元。</w:t>
      </w:r>
    </w:p>
    <w:p>
      <w:pPr>
        <w:pStyle w:val="2"/>
        <w:ind w:firstLine="0"/>
        <w:jc w:val="center"/>
        <w:rPr>
          <w:rFonts w:hint="eastAsia" w:ascii="仿宋_GB2312" w:eastAsia="仿宋_GB2312"/>
          <w:b w:val="0"/>
          <w:bCs w:val="0"/>
          <w:color w:val="auto"/>
          <w:sz w:val="32"/>
          <w:szCs w:val="32"/>
          <w:lang w:val="en-US" w:eastAsia="zh-CN"/>
        </w:rPr>
      </w:pPr>
      <w:r>
        <w:rPr>
          <w:rFonts w:hint="eastAsia" w:ascii="仿宋_GB2312" w:eastAsia="仿宋_GB2312"/>
          <w:color w:val="auto"/>
          <w:sz w:val="32"/>
          <w:szCs w:val="32"/>
          <w:lang w:val="en-US" w:eastAsia="zh-CN"/>
        </w:rPr>
        <w:t>图1：收入预算</w:t>
      </w:r>
    </w:p>
    <w:p>
      <w:pPr>
        <w:pStyle w:val="2"/>
        <w:jc w:val="center"/>
        <w:rPr>
          <w:rFonts w:hint="default"/>
          <w:color w:val="auto"/>
          <w:lang w:val="en-US" w:eastAsia="zh-CN"/>
        </w:rPr>
      </w:pPr>
      <w:r>
        <w:drawing>
          <wp:inline distT="0" distB="0" distL="114300" distR="114300">
            <wp:extent cx="4572000" cy="2743200"/>
            <wp:effectExtent l="4445" t="4445" r="14605" b="52705"/>
            <wp:docPr id="1" name="图表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spacing w:line="560" w:lineRule="exact"/>
        <w:ind w:firstLine="640" w:firstLineChars="200"/>
        <w:rPr>
          <w:rFonts w:hint="eastAsia" w:ascii="黑体" w:eastAsia="黑体" w:cs="Lucida Sans"/>
          <w:color w:val="auto"/>
          <w:sz w:val="32"/>
          <w:szCs w:val="32"/>
        </w:rPr>
      </w:pPr>
      <w:r>
        <w:rPr>
          <w:rFonts w:hint="eastAsia" w:ascii="黑体" w:eastAsia="黑体" w:cs="Lucida Sans"/>
          <w:color w:val="auto"/>
          <w:sz w:val="32"/>
          <w:szCs w:val="32"/>
          <w:lang w:eastAsia="zh-CN"/>
        </w:rPr>
        <w:t>三、</w:t>
      </w:r>
      <w:r>
        <w:rPr>
          <w:rFonts w:hint="eastAsia" w:ascii="黑体" w:eastAsia="黑体" w:cs="Lucida Sans"/>
          <w:color w:val="auto"/>
          <w:sz w:val="32"/>
          <w:szCs w:val="32"/>
        </w:rPr>
        <w:t>支出</w:t>
      </w:r>
      <w:r>
        <w:rPr>
          <w:rFonts w:hint="eastAsia" w:ascii="黑体" w:eastAsia="黑体" w:cs="Lucida Sans"/>
          <w:color w:val="auto"/>
          <w:sz w:val="32"/>
          <w:szCs w:val="32"/>
          <w:lang w:eastAsia="zh-CN"/>
        </w:rPr>
        <w:t>预算</w:t>
      </w:r>
      <w:r>
        <w:rPr>
          <w:rFonts w:hint="eastAsia" w:ascii="黑体" w:eastAsia="黑体" w:cs="Lucida Sans"/>
          <w:color w:val="auto"/>
          <w:sz w:val="32"/>
          <w:szCs w:val="32"/>
        </w:rPr>
        <w:t>情况说明</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lang w:eastAsia="zh-CN"/>
        </w:rPr>
        <w:t>2023年</w:t>
      </w:r>
      <w:r>
        <w:rPr>
          <w:rFonts w:hint="eastAsia" w:ascii="仿宋_GB2312" w:eastAsia="仿宋_GB2312"/>
          <w:color w:val="auto"/>
          <w:sz w:val="32"/>
          <w:szCs w:val="32"/>
        </w:rPr>
        <w:t>支出预算</w:t>
      </w:r>
      <w:r>
        <w:rPr>
          <w:rFonts w:hint="eastAsia" w:ascii="仿宋_GB2312" w:eastAsia="仿宋_GB2312"/>
          <w:color w:val="auto"/>
          <w:sz w:val="32"/>
          <w:szCs w:val="32"/>
          <w:lang w:eastAsia="zh-CN"/>
        </w:rPr>
        <w:t>1</w:t>
      </w:r>
      <w:r>
        <w:rPr>
          <w:rFonts w:hint="eastAsia" w:ascii="仿宋_GB2312" w:eastAsia="仿宋_GB2312"/>
          <w:color w:val="auto"/>
          <w:sz w:val="32"/>
          <w:szCs w:val="32"/>
          <w:lang w:val="en-US" w:eastAsia="zh-CN"/>
        </w:rPr>
        <w:t>0078.73</w:t>
      </w:r>
      <w:r>
        <w:rPr>
          <w:rFonts w:hint="eastAsia" w:ascii="仿宋_GB2312" w:eastAsia="仿宋_GB2312"/>
          <w:color w:val="auto"/>
          <w:sz w:val="32"/>
          <w:szCs w:val="32"/>
        </w:rPr>
        <w:t>万元，比</w:t>
      </w:r>
      <w:r>
        <w:rPr>
          <w:rFonts w:hint="eastAsia" w:ascii="仿宋_GB2312" w:eastAsia="仿宋_GB2312"/>
          <w:color w:val="auto"/>
          <w:sz w:val="32"/>
          <w:szCs w:val="32"/>
          <w:lang w:eastAsia="zh-CN"/>
        </w:rPr>
        <w:t>2022年年初预算数3</w:t>
      </w:r>
      <w:r>
        <w:rPr>
          <w:rFonts w:hint="eastAsia" w:ascii="仿宋_GB2312" w:eastAsia="仿宋_GB2312"/>
          <w:color w:val="auto"/>
          <w:sz w:val="32"/>
          <w:szCs w:val="32"/>
          <w:lang w:val="en-US" w:eastAsia="zh-CN"/>
        </w:rPr>
        <w:t>297.77</w:t>
      </w:r>
      <w:r>
        <w:rPr>
          <w:rFonts w:hint="eastAsia" w:ascii="仿宋_GB2312" w:eastAsia="仿宋_GB2312"/>
          <w:color w:val="auto"/>
          <w:sz w:val="32"/>
          <w:szCs w:val="32"/>
        </w:rPr>
        <w:t>万元增加</w:t>
      </w:r>
      <w:r>
        <w:rPr>
          <w:rFonts w:hint="eastAsia" w:ascii="仿宋_GB2312" w:eastAsia="仿宋_GB2312"/>
          <w:color w:val="auto"/>
          <w:sz w:val="32"/>
          <w:szCs w:val="32"/>
          <w:lang w:eastAsia="zh-CN"/>
        </w:rPr>
        <w:t>6</w:t>
      </w:r>
      <w:r>
        <w:rPr>
          <w:rFonts w:hint="eastAsia" w:ascii="仿宋_GB2312" w:eastAsia="仿宋_GB2312"/>
          <w:color w:val="auto"/>
          <w:sz w:val="32"/>
          <w:szCs w:val="32"/>
          <w:lang w:val="en-US" w:eastAsia="zh-CN"/>
        </w:rPr>
        <w:t>780.96</w:t>
      </w:r>
      <w:r>
        <w:rPr>
          <w:rFonts w:hint="eastAsia" w:ascii="仿宋_GB2312" w:eastAsia="仿宋_GB2312"/>
          <w:color w:val="auto"/>
          <w:sz w:val="32"/>
          <w:szCs w:val="32"/>
        </w:rPr>
        <w:t>万元，增长</w:t>
      </w:r>
      <w:r>
        <w:rPr>
          <w:rFonts w:hint="eastAsia" w:ascii="仿宋_GB2312" w:eastAsia="仿宋_GB2312"/>
          <w:color w:val="auto"/>
          <w:sz w:val="32"/>
          <w:szCs w:val="32"/>
          <w:lang w:eastAsia="zh-CN"/>
        </w:rPr>
        <w:t>2</w:t>
      </w:r>
      <w:r>
        <w:rPr>
          <w:rFonts w:hint="eastAsia" w:ascii="仿宋_GB2312" w:eastAsia="仿宋_GB2312"/>
          <w:color w:val="auto"/>
          <w:sz w:val="32"/>
          <w:szCs w:val="32"/>
          <w:lang w:val="en-US" w:eastAsia="zh-CN"/>
        </w:rPr>
        <w:t>05.62</w:t>
      </w:r>
      <w:r>
        <w:rPr>
          <w:rFonts w:hint="eastAsia" w:ascii="仿宋_GB2312" w:eastAsia="仿宋_GB2312"/>
          <w:color w:val="auto"/>
          <w:sz w:val="32"/>
          <w:szCs w:val="32"/>
        </w:rPr>
        <w:t>%。</w:t>
      </w:r>
      <w:r>
        <w:rPr>
          <w:rFonts w:hint="eastAsia" w:ascii="仿宋_GB2312" w:eastAsia="仿宋_GB2312"/>
          <w:color w:val="auto"/>
          <w:sz w:val="32"/>
          <w:szCs w:val="32"/>
          <w:lang w:eastAsia="zh-CN"/>
        </w:rPr>
        <w:t>主要原因</w:t>
      </w:r>
      <w:r>
        <w:rPr>
          <w:rFonts w:hint="eastAsia" w:ascii="仿宋_GB2312" w:eastAsia="仿宋_GB2312"/>
          <w:color w:val="000000"/>
          <w:sz w:val="32"/>
          <w:szCs w:val="32"/>
        </w:rPr>
        <w:t>是本年</w:t>
      </w:r>
      <w:r>
        <w:rPr>
          <w:rFonts w:hint="eastAsia" w:ascii="仿宋_GB2312" w:hAnsi="仿宋_GB2312" w:eastAsia="仿宋_GB2312" w:cs="仿宋_GB2312"/>
          <w:color w:val="000000"/>
          <w:sz w:val="32"/>
          <w:szCs w:val="32"/>
        </w:rPr>
        <w:t>为落</w:t>
      </w:r>
      <w:r>
        <w:rPr>
          <w:rFonts w:hint="eastAsia" w:ascii="仿宋_GB2312" w:hAnsi="仿宋_GB2312" w:eastAsia="仿宋_GB2312" w:cs="仿宋_GB2312"/>
          <w:sz w:val="32"/>
          <w:szCs w:val="32"/>
        </w:rPr>
        <w:t>实市委、市政府重大决策和政策要求，</w:t>
      </w:r>
      <w:r>
        <w:rPr>
          <w:rFonts w:hint="eastAsia" w:ascii="仿宋_GB2312" w:hAnsi="仿宋_GB2312" w:eastAsia="仿宋_GB2312" w:cs="仿宋_GB2312"/>
          <w:sz w:val="32"/>
          <w:szCs w:val="32"/>
          <w:lang w:val="en-US" w:eastAsia="zh-CN"/>
        </w:rPr>
        <w:t>增加</w:t>
      </w:r>
      <w:r>
        <w:rPr>
          <w:rFonts w:hint="eastAsia" w:ascii="仿宋_GB2312" w:hAnsi="仿宋_GB2312" w:eastAsia="仿宋_GB2312" w:cs="仿宋_GB2312"/>
          <w:color w:val="000000"/>
          <w:sz w:val="32"/>
          <w:szCs w:val="32"/>
        </w:rPr>
        <w:t>大葆台改扩建</w:t>
      </w:r>
      <w:r>
        <w:rPr>
          <w:rFonts w:hint="eastAsia" w:ascii="仿宋_GB2312" w:hAnsi="仿宋_GB2312" w:eastAsia="仿宋_GB2312" w:cs="仿宋_GB2312"/>
          <w:sz w:val="32"/>
          <w:szCs w:val="32"/>
        </w:rPr>
        <w:t>重点工作项目，资金量比上年增加较大。</w:t>
      </w:r>
    </w:p>
    <w:p>
      <w:pPr>
        <w:spacing w:line="560" w:lineRule="exact"/>
        <w:ind w:firstLine="640"/>
        <w:rPr>
          <w:rFonts w:hint="eastAsia" w:ascii="仿宋_GB2312" w:eastAsia="仿宋_GB2312"/>
          <w:color w:val="auto"/>
          <w:sz w:val="32"/>
          <w:szCs w:val="32"/>
        </w:rPr>
      </w:pPr>
      <w:r>
        <w:rPr>
          <w:rFonts w:hint="eastAsia" w:ascii="方正楷体_GB2312" w:hAnsi="方正楷体_GB2312" w:eastAsia="方正楷体_GB2312" w:cs="方正楷体_GB2312"/>
          <w:color w:val="auto"/>
          <w:sz w:val="32"/>
          <w:szCs w:val="32"/>
          <w:lang w:val="en-US" w:eastAsia="zh-CN"/>
        </w:rPr>
        <w:t>(一)</w:t>
      </w:r>
      <w:r>
        <w:rPr>
          <w:rFonts w:hint="eastAsia" w:ascii="方正楷体_GB2312" w:hAnsi="方正楷体_GB2312" w:eastAsia="方正楷体_GB2312" w:cs="方正楷体_GB2312"/>
          <w:color w:val="auto"/>
          <w:sz w:val="32"/>
          <w:szCs w:val="32"/>
        </w:rPr>
        <w:t>基本</w:t>
      </w:r>
      <w:r>
        <w:rPr>
          <w:rFonts w:hint="eastAsia" w:ascii="方正楷体_GB2312" w:hAnsi="方正楷体_GB2312" w:eastAsia="方正楷体_GB2312" w:cs="方正楷体_GB2312"/>
          <w:color w:val="auto"/>
          <w:sz w:val="32"/>
          <w:szCs w:val="32"/>
          <w:lang w:eastAsia="zh-CN"/>
        </w:rPr>
        <w:t>支出。</w:t>
      </w:r>
      <w:r>
        <w:rPr>
          <w:rFonts w:hint="eastAsia" w:ascii="仿宋_GB2312" w:eastAsia="仿宋_GB2312"/>
          <w:color w:val="auto"/>
          <w:sz w:val="32"/>
          <w:szCs w:val="32"/>
          <w:lang w:eastAsia="zh-CN"/>
        </w:rPr>
        <w:t>基本</w:t>
      </w:r>
      <w:r>
        <w:rPr>
          <w:rFonts w:hint="eastAsia" w:ascii="仿宋_GB2312" w:eastAsia="仿宋_GB2312"/>
          <w:color w:val="auto"/>
          <w:sz w:val="32"/>
          <w:szCs w:val="32"/>
        </w:rPr>
        <w:t>支出预算</w:t>
      </w:r>
      <w:r>
        <w:rPr>
          <w:rFonts w:hint="eastAsia" w:ascii="仿宋_GB2312" w:eastAsia="仿宋_GB2312"/>
          <w:color w:val="auto"/>
          <w:sz w:val="32"/>
          <w:szCs w:val="32"/>
          <w:lang w:eastAsia="zh-CN"/>
        </w:rPr>
        <w:t>2</w:t>
      </w:r>
      <w:r>
        <w:rPr>
          <w:rFonts w:hint="eastAsia" w:ascii="仿宋_GB2312" w:eastAsia="仿宋_GB2312"/>
          <w:color w:val="auto"/>
          <w:sz w:val="32"/>
          <w:szCs w:val="32"/>
          <w:lang w:val="en-US" w:eastAsia="zh-CN"/>
        </w:rPr>
        <w:t>760.23</w:t>
      </w:r>
      <w:r>
        <w:rPr>
          <w:rFonts w:hint="eastAsia" w:ascii="仿宋_GB2312" w:eastAsia="仿宋_GB2312"/>
          <w:color w:val="auto"/>
          <w:sz w:val="32"/>
          <w:szCs w:val="32"/>
        </w:rPr>
        <w:t>万元，占总支出预算</w:t>
      </w:r>
      <w:r>
        <w:rPr>
          <w:rFonts w:hint="eastAsia" w:ascii="仿宋_GB2312" w:eastAsia="仿宋_GB2312"/>
          <w:color w:val="auto"/>
          <w:sz w:val="32"/>
          <w:szCs w:val="32"/>
          <w:lang w:eastAsia="zh-CN"/>
        </w:rPr>
        <w:t>2</w:t>
      </w:r>
      <w:r>
        <w:rPr>
          <w:rFonts w:hint="eastAsia" w:ascii="仿宋_GB2312" w:eastAsia="仿宋_GB2312"/>
          <w:color w:val="auto"/>
          <w:sz w:val="32"/>
          <w:szCs w:val="32"/>
          <w:lang w:val="en-US" w:eastAsia="zh-CN"/>
        </w:rPr>
        <w:t>7.39</w:t>
      </w:r>
      <w:r>
        <w:rPr>
          <w:rFonts w:hint="eastAsia" w:ascii="仿宋_GB2312" w:eastAsia="仿宋_GB2312"/>
          <w:color w:val="auto"/>
          <w:sz w:val="32"/>
          <w:szCs w:val="32"/>
        </w:rPr>
        <w:t>%，比</w:t>
      </w:r>
      <w:r>
        <w:rPr>
          <w:rFonts w:hint="eastAsia" w:ascii="仿宋_GB2312" w:eastAsia="仿宋_GB2312"/>
          <w:color w:val="auto"/>
          <w:sz w:val="32"/>
          <w:szCs w:val="32"/>
          <w:lang w:eastAsia="zh-CN"/>
        </w:rPr>
        <w:t>2022年年初预算数2</w:t>
      </w:r>
      <w:r>
        <w:rPr>
          <w:rFonts w:hint="eastAsia" w:ascii="仿宋_GB2312" w:eastAsia="仿宋_GB2312"/>
          <w:color w:val="auto"/>
          <w:sz w:val="32"/>
          <w:szCs w:val="32"/>
          <w:lang w:val="en-US" w:eastAsia="zh-CN"/>
        </w:rPr>
        <w:t>648.01</w:t>
      </w:r>
      <w:r>
        <w:rPr>
          <w:rFonts w:hint="eastAsia" w:ascii="仿宋_GB2312" w:eastAsia="仿宋_GB2312"/>
          <w:color w:val="auto"/>
          <w:sz w:val="32"/>
          <w:szCs w:val="32"/>
        </w:rPr>
        <w:t>万元增加</w:t>
      </w:r>
      <w:r>
        <w:rPr>
          <w:rFonts w:hint="eastAsia" w:ascii="仿宋_GB2312" w:eastAsia="仿宋_GB2312"/>
          <w:color w:val="auto"/>
          <w:sz w:val="32"/>
          <w:szCs w:val="32"/>
          <w:lang w:val="en-US" w:eastAsia="zh-CN"/>
        </w:rPr>
        <w:t>112.22</w:t>
      </w:r>
      <w:r>
        <w:rPr>
          <w:rFonts w:hint="eastAsia" w:ascii="仿宋_GB2312" w:eastAsia="仿宋_GB2312"/>
          <w:color w:val="auto"/>
          <w:sz w:val="32"/>
          <w:szCs w:val="32"/>
        </w:rPr>
        <w:t>万元，增长</w:t>
      </w:r>
      <w:r>
        <w:rPr>
          <w:rFonts w:hint="eastAsia" w:ascii="仿宋_GB2312" w:eastAsia="仿宋_GB2312"/>
          <w:color w:val="auto"/>
          <w:sz w:val="32"/>
          <w:szCs w:val="32"/>
          <w:lang w:val="en-US" w:eastAsia="zh-CN"/>
        </w:rPr>
        <w:t>4.24</w:t>
      </w:r>
      <w:r>
        <w:rPr>
          <w:rFonts w:hint="eastAsia" w:ascii="仿宋_GB2312" w:eastAsia="仿宋_GB2312"/>
          <w:color w:val="auto"/>
          <w:sz w:val="32"/>
          <w:szCs w:val="32"/>
        </w:rPr>
        <w:t>%。</w:t>
      </w:r>
    </w:p>
    <w:p>
      <w:pPr>
        <w:spacing w:line="560" w:lineRule="exact"/>
        <w:ind w:firstLine="640"/>
        <w:rPr>
          <w:rFonts w:hint="eastAsia" w:ascii="仿宋_GB2312" w:eastAsia="仿宋_GB2312"/>
          <w:color w:val="auto"/>
          <w:sz w:val="32"/>
          <w:szCs w:val="32"/>
          <w:lang w:val="en-US" w:eastAsia="zh-CN"/>
        </w:rPr>
      </w:pPr>
      <w:r>
        <w:rPr>
          <w:rFonts w:hint="eastAsia" w:ascii="方正楷体_GB2312" w:hAnsi="方正楷体_GB2312" w:eastAsia="方正楷体_GB2312" w:cs="方正楷体_GB2312"/>
          <w:color w:val="auto"/>
          <w:sz w:val="32"/>
          <w:szCs w:val="32"/>
          <w:lang w:val="en-US" w:eastAsia="zh-CN"/>
        </w:rPr>
        <w:t>（二）项目支出。</w:t>
      </w:r>
      <w:r>
        <w:rPr>
          <w:rFonts w:hint="eastAsia" w:ascii="仿宋_GB2312" w:eastAsia="仿宋_GB2312"/>
          <w:color w:val="auto"/>
          <w:sz w:val="32"/>
          <w:szCs w:val="32"/>
          <w:lang w:val="en-US" w:eastAsia="zh-CN"/>
        </w:rPr>
        <w:t>项目支出预算7318.50万元，比2022年年初预算数649.76万元增加6668.74万元，增长1026.34%。其中：</w:t>
      </w:r>
    </w:p>
    <w:p>
      <w:pPr>
        <w:spacing w:line="560" w:lineRule="exact"/>
        <w:ind w:firstLine="640"/>
        <w:rPr>
          <w:rFonts w:hint="eastAsia" w:ascii="仿宋_GB2312" w:eastAsia="仿宋_GB2312" w:cs="Lucida Sans"/>
          <w:color w:val="auto"/>
          <w:sz w:val="32"/>
          <w:szCs w:val="32"/>
        </w:rPr>
      </w:pPr>
      <w:r>
        <w:rPr>
          <w:rFonts w:hint="eastAsia" w:ascii="仿宋_GB2312" w:eastAsia="仿宋_GB2312" w:cs="Lucida Sans"/>
          <w:color w:val="auto"/>
          <w:sz w:val="32"/>
          <w:szCs w:val="32"/>
        </w:rPr>
        <w:t>1.事业单位经营支出</w:t>
      </w:r>
      <w:r>
        <w:rPr>
          <w:rFonts w:hint="eastAsia" w:ascii="仿宋_GB2312" w:eastAsia="仿宋_GB2312" w:cs="Lucida Sans"/>
          <w:color w:val="auto"/>
          <w:sz w:val="32"/>
          <w:szCs w:val="32"/>
          <w:lang w:eastAsia="zh-CN"/>
        </w:rPr>
        <w:t>0</w:t>
      </w:r>
      <w:r>
        <w:rPr>
          <w:rFonts w:hint="eastAsia" w:ascii="仿宋_GB2312" w:eastAsia="仿宋_GB2312" w:cs="Lucida Sans"/>
          <w:color w:val="auto"/>
          <w:sz w:val="32"/>
          <w:szCs w:val="32"/>
        </w:rPr>
        <w:t>万元。</w:t>
      </w:r>
    </w:p>
    <w:p>
      <w:pPr>
        <w:spacing w:line="560" w:lineRule="exact"/>
        <w:ind w:firstLine="640"/>
        <w:rPr>
          <w:rFonts w:hint="eastAsia" w:ascii="仿宋_GB2312" w:eastAsia="仿宋_GB2312" w:cs="Lucida Sans"/>
          <w:color w:val="auto"/>
          <w:sz w:val="32"/>
          <w:szCs w:val="32"/>
        </w:rPr>
      </w:pPr>
      <w:r>
        <w:rPr>
          <w:rFonts w:hint="eastAsia" w:ascii="仿宋_GB2312" w:eastAsia="仿宋_GB2312" w:cs="Lucida Sans"/>
          <w:color w:val="auto"/>
          <w:sz w:val="32"/>
          <w:szCs w:val="32"/>
        </w:rPr>
        <w:t>2.上缴上级支出</w:t>
      </w:r>
      <w:r>
        <w:rPr>
          <w:rFonts w:hint="eastAsia" w:ascii="仿宋_GB2312" w:eastAsia="仿宋_GB2312" w:cs="Lucida Sans"/>
          <w:color w:val="auto"/>
          <w:sz w:val="32"/>
          <w:szCs w:val="32"/>
          <w:lang w:eastAsia="zh-CN"/>
        </w:rPr>
        <w:t>0</w:t>
      </w:r>
      <w:r>
        <w:rPr>
          <w:rFonts w:hint="eastAsia" w:ascii="仿宋_GB2312" w:eastAsia="仿宋_GB2312" w:cs="Lucida Sans"/>
          <w:color w:val="auto"/>
          <w:sz w:val="32"/>
          <w:szCs w:val="32"/>
        </w:rPr>
        <w:t>万元。</w:t>
      </w:r>
    </w:p>
    <w:p>
      <w:pPr>
        <w:spacing w:line="560" w:lineRule="exact"/>
        <w:ind w:firstLine="640"/>
        <w:rPr>
          <w:rFonts w:hint="eastAsia" w:ascii="仿宋_GB2312" w:eastAsia="仿宋_GB2312" w:cs="Lucida Sans"/>
          <w:color w:val="auto"/>
          <w:sz w:val="32"/>
          <w:szCs w:val="32"/>
        </w:rPr>
      </w:pPr>
      <w:r>
        <w:rPr>
          <w:rFonts w:hint="eastAsia" w:ascii="仿宋_GB2312" w:eastAsia="仿宋_GB2312" w:cs="Lucida Sans"/>
          <w:color w:val="auto"/>
          <w:sz w:val="32"/>
          <w:szCs w:val="32"/>
        </w:rPr>
        <w:t>3.对附属单位补助支出</w:t>
      </w:r>
      <w:r>
        <w:rPr>
          <w:rFonts w:hint="eastAsia" w:ascii="仿宋_GB2312" w:eastAsia="仿宋_GB2312" w:cs="Lucida Sans"/>
          <w:color w:val="auto"/>
          <w:sz w:val="32"/>
          <w:szCs w:val="32"/>
          <w:lang w:eastAsia="zh-CN"/>
        </w:rPr>
        <w:t>0</w:t>
      </w:r>
      <w:r>
        <w:rPr>
          <w:rFonts w:hint="eastAsia" w:ascii="仿宋_GB2312" w:eastAsia="仿宋_GB2312" w:cs="Lucida Sans"/>
          <w:color w:val="auto"/>
          <w:sz w:val="32"/>
          <w:szCs w:val="32"/>
        </w:rPr>
        <w:t>万元。</w:t>
      </w:r>
    </w:p>
    <w:p>
      <w:pPr>
        <w:pStyle w:val="2"/>
        <w:ind w:firstLine="642"/>
        <w:jc w:val="center"/>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图2：基本支出和项目支出情况</w:t>
      </w:r>
    </w:p>
    <w:p>
      <w:pPr>
        <w:ind w:firstLine="0"/>
        <w:jc w:val="both"/>
        <w:rPr>
          <w:rFonts w:hint="default"/>
          <w:color w:val="auto"/>
          <w:lang w:val="en-US" w:eastAsia="zh-CN"/>
        </w:rPr>
      </w:pPr>
    </w:p>
    <w:p>
      <w:pPr>
        <w:pStyle w:val="2"/>
        <w:jc w:val="center"/>
        <w:rPr>
          <w:rFonts w:hint="default" w:eastAsia="黑体"/>
          <w:color w:val="auto"/>
          <w:lang w:eastAsia="zh-CN"/>
        </w:rPr>
      </w:pPr>
      <w:r>
        <w:drawing>
          <wp:inline distT="0" distB="0" distL="114300" distR="114300">
            <wp:extent cx="4932045" cy="3040380"/>
            <wp:effectExtent l="4445" t="4445" r="16510" b="60325"/>
            <wp:docPr id="3" name="图表 3" descr="7b0a202020202263686172745265734964223a20223230343730393037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spacing w:line="560" w:lineRule="exact"/>
        <w:ind w:firstLine="640" w:firstLineChars="200"/>
        <w:rPr>
          <w:rFonts w:hint="eastAsia" w:ascii="黑体" w:eastAsia="黑体"/>
          <w:color w:val="auto"/>
          <w:sz w:val="32"/>
          <w:szCs w:val="32"/>
        </w:rPr>
      </w:pPr>
      <w:r>
        <w:rPr>
          <w:rFonts w:hint="eastAsia" w:ascii="黑体" w:eastAsia="黑体"/>
          <w:color w:val="auto"/>
          <w:sz w:val="32"/>
          <w:szCs w:val="32"/>
          <w:lang w:eastAsia="zh-CN"/>
        </w:rPr>
        <w:t>四</w:t>
      </w:r>
      <w:r>
        <w:rPr>
          <w:rFonts w:hint="eastAsia" w:ascii="黑体" w:eastAsia="黑体"/>
          <w:color w:val="auto"/>
          <w:sz w:val="32"/>
          <w:szCs w:val="32"/>
        </w:rPr>
        <w:t>、财政拨款“三公”经费预算</w:t>
      </w:r>
      <w:r>
        <w:rPr>
          <w:rFonts w:hint="eastAsia" w:ascii="黑体" w:eastAsia="黑体"/>
          <w:color w:val="auto"/>
          <w:sz w:val="32"/>
          <w:szCs w:val="32"/>
          <w:lang w:eastAsia="zh-CN"/>
        </w:rPr>
        <w:t>情况</w:t>
      </w:r>
      <w:r>
        <w:rPr>
          <w:rFonts w:hint="eastAsia" w:ascii="黑体" w:eastAsia="黑体"/>
          <w:color w:val="auto"/>
          <w:sz w:val="32"/>
          <w:szCs w:val="32"/>
        </w:rPr>
        <w:t>说明</w:t>
      </w:r>
    </w:p>
    <w:p>
      <w:pPr>
        <w:spacing w:line="560" w:lineRule="exact"/>
        <w:ind w:firstLine="640" w:firstLineChars="200"/>
        <w:rPr>
          <w:rFonts w:hint="eastAsia" w:ascii="方正楷体_GB2312" w:eastAsia="方正楷体_GB2312"/>
          <w:color w:val="auto"/>
          <w:sz w:val="32"/>
          <w:szCs w:val="32"/>
        </w:rPr>
      </w:pPr>
      <w:r>
        <w:rPr>
          <w:rFonts w:hint="eastAsia" w:ascii="方正楷体_GB2312" w:eastAsia="方正楷体_GB2312"/>
          <w:color w:val="auto"/>
          <w:sz w:val="32"/>
          <w:szCs w:val="32"/>
        </w:rPr>
        <w:t>（一）“三公”经费的单位范围</w:t>
      </w:r>
    </w:p>
    <w:p>
      <w:pPr>
        <w:ind w:firstLine="555" w:firstLineChars="0"/>
        <w:rPr>
          <w:rFonts w:hint="eastAsia" w:ascii="仿宋_GB2312" w:hAnsi="Times New Roman" w:eastAsia="仿宋_GB2312"/>
          <w:sz w:val="32"/>
          <w:szCs w:val="32"/>
          <w:highlight w:val="none"/>
        </w:rPr>
      </w:pPr>
      <w:r>
        <w:rPr>
          <w:rFonts w:hint="eastAsia" w:ascii="仿宋_GB2312" w:hAnsi="Times New Roman" w:eastAsia="仿宋_GB2312"/>
          <w:sz w:val="32"/>
          <w:szCs w:val="32"/>
          <w:highlight w:val="none"/>
          <w:lang w:val="en-US" w:eastAsia="zh-CN"/>
        </w:rPr>
        <w:t>北京考古遗址博物馆</w:t>
      </w:r>
      <w:r>
        <w:rPr>
          <w:rFonts w:hint="eastAsia" w:ascii="仿宋_GB2312" w:hAnsi="Times New Roman" w:eastAsia="仿宋_GB2312"/>
          <w:sz w:val="32"/>
          <w:szCs w:val="32"/>
          <w:highlight w:val="none"/>
        </w:rPr>
        <w:t>因公出国（境）费用、公务接待费、公务用车购置和运行维护费开支单位包括</w:t>
      </w:r>
      <w:r>
        <w:rPr>
          <w:rFonts w:hint="eastAsia" w:ascii="仿宋_GB2312" w:hAnsi="Times New Roman" w:eastAsia="仿宋_GB2312"/>
          <w:sz w:val="32"/>
          <w:szCs w:val="32"/>
          <w:highlight w:val="none"/>
          <w:lang w:val="en-US" w:eastAsia="zh-CN"/>
        </w:rPr>
        <w:t>1</w:t>
      </w:r>
      <w:r>
        <w:rPr>
          <w:rFonts w:hint="eastAsia" w:ascii="仿宋_GB2312" w:hAnsi="Times New Roman" w:eastAsia="仿宋_GB2312"/>
          <w:sz w:val="32"/>
          <w:szCs w:val="32"/>
          <w:highlight w:val="none"/>
        </w:rPr>
        <w:t>个单位。</w:t>
      </w:r>
    </w:p>
    <w:p>
      <w:pPr>
        <w:spacing w:line="560" w:lineRule="exact"/>
        <w:ind w:firstLine="640" w:firstLineChars="200"/>
        <w:rPr>
          <w:rFonts w:hint="eastAsia" w:ascii="仿宋_GB2312" w:eastAsia="仿宋_GB2312"/>
          <w:color w:val="auto"/>
          <w:sz w:val="32"/>
          <w:szCs w:val="32"/>
          <w:lang w:eastAsia="zh-CN"/>
        </w:rPr>
      </w:pPr>
      <w:r>
        <w:rPr>
          <w:rFonts w:hint="eastAsia" w:ascii="方正楷体_GB2312" w:eastAsia="方正楷体_GB2312"/>
          <w:color w:val="auto"/>
          <w:sz w:val="32"/>
          <w:szCs w:val="32"/>
        </w:rPr>
        <w:t>（二）财政拨款“三公”经费预算情况说明</w:t>
      </w:r>
    </w:p>
    <w:p>
      <w:pPr>
        <w:ind w:firstLine="555" w:firstLineChars="0"/>
        <w:rPr>
          <w:rFonts w:hint="eastAsia" w:ascii="仿宋_GB2312" w:hAnsi="Times New Roman" w:eastAsia="仿宋_GB2312"/>
          <w:sz w:val="32"/>
          <w:szCs w:val="32"/>
          <w:highlight w:val="none"/>
        </w:rPr>
      </w:pPr>
      <w:r>
        <w:rPr>
          <w:rFonts w:hint="eastAsia" w:ascii="仿宋_GB2312" w:hAnsi="Times New Roman" w:eastAsia="仿宋_GB2312"/>
          <w:sz w:val="32"/>
          <w:szCs w:val="32"/>
          <w:highlight w:val="none"/>
        </w:rPr>
        <w:t>202</w:t>
      </w:r>
      <w:r>
        <w:rPr>
          <w:rFonts w:hint="eastAsia" w:ascii="仿宋_GB2312" w:hAnsi="Times New Roman" w:eastAsia="仿宋_GB2312"/>
          <w:sz w:val="32"/>
          <w:szCs w:val="32"/>
          <w:highlight w:val="none"/>
          <w:lang w:val="en-US" w:eastAsia="zh-CN"/>
        </w:rPr>
        <w:t>3</w:t>
      </w:r>
      <w:r>
        <w:rPr>
          <w:rFonts w:hint="eastAsia" w:ascii="仿宋_GB2312" w:hAnsi="Times New Roman" w:eastAsia="仿宋_GB2312"/>
          <w:sz w:val="32"/>
          <w:szCs w:val="32"/>
          <w:highlight w:val="none"/>
        </w:rPr>
        <w:t>年"三公经费"财政拨款预算</w:t>
      </w:r>
      <w:r>
        <w:rPr>
          <w:rFonts w:hint="eastAsia" w:ascii="仿宋_GB2312" w:hAnsi="Times New Roman" w:eastAsia="仿宋_GB2312"/>
          <w:sz w:val="32"/>
          <w:szCs w:val="32"/>
          <w:highlight w:val="none"/>
          <w:lang w:val="en-US" w:eastAsia="zh-CN"/>
        </w:rPr>
        <w:t>8.16</w:t>
      </w:r>
      <w:r>
        <w:rPr>
          <w:rFonts w:hint="eastAsia" w:ascii="仿宋_GB2312" w:hAnsi="Times New Roman" w:eastAsia="仿宋_GB2312"/>
          <w:sz w:val="32"/>
          <w:szCs w:val="32"/>
          <w:highlight w:val="none"/>
        </w:rPr>
        <w:t>万元，比202</w:t>
      </w:r>
      <w:r>
        <w:rPr>
          <w:rFonts w:hint="eastAsia" w:ascii="仿宋_GB2312" w:hAnsi="Times New Roman" w:eastAsia="仿宋_GB2312"/>
          <w:sz w:val="32"/>
          <w:szCs w:val="32"/>
          <w:highlight w:val="none"/>
          <w:lang w:val="en-US" w:eastAsia="zh-CN"/>
        </w:rPr>
        <w:t>2</w:t>
      </w:r>
      <w:r>
        <w:rPr>
          <w:rFonts w:hint="eastAsia" w:ascii="仿宋_GB2312" w:hAnsi="Times New Roman" w:eastAsia="仿宋_GB2312"/>
          <w:sz w:val="32"/>
          <w:szCs w:val="32"/>
          <w:highlight w:val="none"/>
        </w:rPr>
        <w:t>年"三公经费"财政拨款预算</w:t>
      </w:r>
      <w:r>
        <w:rPr>
          <w:rFonts w:hint="eastAsia" w:ascii="仿宋_GB2312" w:hAnsi="Times New Roman" w:eastAsia="仿宋_GB2312"/>
          <w:sz w:val="32"/>
          <w:szCs w:val="32"/>
          <w:highlight w:val="none"/>
          <w:lang w:val="en-US" w:eastAsia="zh-CN"/>
        </w:rPr>
        <w:t>26.16万元</w:t>
      </w:r>
      <w:r>
        <w:rPr>
          <w:rFonts w:hint="eastAsia" w:ascii="仿宋_GB2312" w:hAnsi="Times New Roman" w:eastAsia="仿宋_GB2312"/>
          <w:sz w:val="32"/>
          <w:szCs w:val="32"/>
          <w:highlight w:val="none"/>
        </w:rPr>
        <w:t>减少</w:t>
      </w:r>
      <w:r>
        <w:rPr>
          <w:rFonts w:hint="eastAsia" w:ascii="仿宋_GB2312" w:hAnsi="Times New Roman" w:eastAsia="仿宋_GB2312"/>
          <w:sz w:val="32"/>
          <w:szCs w:val="32"/>
          <w:highlight w:val="none"/>
          <w:lang w:val="en-US" w:eastAsia="zh-CN"/>
        </w:rPr>
        <w:t>18</w:t>
      </w:r>
      <w:r>
        <w:rPr>
          <w:rFonts w:hint="eastAsia" w:ascii="仿宋_GB2312" w:hAnsi="Times New Roman" w:eastAsia="仿宋_GB2312"/>
          <w:sz w:val="32"/>
          <w:szCs w:val="32"/>
          <w:highlight w:val="none"/>
        </w:rPr>
        <w:t>万元。其中：</w:t>
      </w:r>
    </w:p>
    <w:p>
      <w:pPr>
        <w:ind w:firstLine="555" w:firstLineChars="0"/>
        <w:rPr>
          <w:rFonts w:hint="eastAsia" w:ascii="仿宋_GB2312" w:eastAsia="仿宋_GB2312"/>
          <w:color w:val="auto"/>
          <w:sz w:val="32"/>
          <w:szCs w:val="32"/>
          <w:lang w:eastAsia="zh-CN"/>
        </w:rPr>
      </w:pPr>
      <w:r>
        <w:rPr>
          <w:rFonts w:hint="eastAsia" w:ascii="仿宋_GB2312" w:hAnsi="Times New Roman" w:eastAsia="仿宋_GB2312"/>
          <w:sz w:val="32"/>
          <w:szCs w:val="32"/>
          <w:highlight w:val="none"/>
        </w:rPr>
        <w:t>1.因公出国（境）费用。</w:t>
      </w:r>
      <w:r>
        <w:rPr>
          <w:rFonts w:hint="eastAsia" w:ascii="仿宋_GB2312" w:eastAsia="仿宋_GB2312"/>
          <w:color w:val="auto"/>
          <w:sz w:val="32"/>
          <w:szCs w:val="32"/>
          <w:lang w:eastAsia="zh-CN"/>
        </w:rPr>
        <w:t>2023年</w:t>
      </w:r>
      <w:r>
        <w:rPr>
          <w:rFonts w:hint="eastAsia" w:ascii="仿宋_GB2312" w:eastAsia="仿宋_GB2312"/>
          <w:color w:val="auto"/>
          <w:sz w:val="32"/>
          <w:szCs w:val="32"/>
        </w:rPr>
        <w:t>预算数</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万元，比</w:t>
      </w:r>
      <w:r>
        <w:rPr>
          <w:rFonts w:hint="eastAsia" w:ascii="仿宋_GB2312" w:eastAsia="仿宋_GB2312"/>
          <w:color w:val="auto"/>
          <w:sz w:val="32"/>
          <w:szCs w:val="32"/>
          <w:lang w:eastAsia="zh-CN"/>
        </w:rPr>
        <w:t>2022年年初</w:t>
      </w:r>
      <w:r>
        <w:rPr>
          <w:rFonts w:hint="eastAsia" w:ascii="仿宋_GB2312" w:eastAsia="仿宋_GB2312"/>
          <w:color w:val="auto"/>
          <w:sz w:val="32"/>
          <w:szCs w:val="32"/>
        </w:rPr>
        <w:t>预算数</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万元增加</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万元</w:t>
      </w:r>
      <w:r>
        <w:rPr>
          <w:rFonts w:hint="eastAsia" w:ascii="仿宋_GB2312" w:eastAsia="仿宋_GB2312"/>
          <w:color w:val="auto"/>
          <w:sz w:val="32"/>
          <w:szCs w:val="32"/>
          <w:lang w:eastAsia="zh-CN"/>
        </w:rPr>
        <w:t>。</w:t>
      </w:r>
    </w:p>
    <w:p>
      <w:pPr>
        <w:ind w:firstLine="555" w:firstLineChars="0"/>
        <w:rPr>
          <w:rFonts w:hint="eastAsia" w:ascii="仿宋_GB2312" w:hAnsi="Times New Roman" w:eastAsia="仿宋_GB2312"/>
          <w:sz w:val="32"/>
          <w:szCs w:val="32"/>
          <w:highlight w:val="none"/>
        </w:rPr>
      </w:pPr>
      <w:r>
        <w:rPr>
          <w:rFonts w:hint="eastAsia" w:ascii="仿宋_GB2312" w:hAnsi="Times New Roman" w:eastAsia="仿宋_GB2312"/>
          <w:sz w:val="32"/>
          <w:szCs w:val="32"/>
          <w:highlight w:val="none"/>
        </w:rPr>
        <w:t>2.公务接待费。</w:t>
      </w:r>
      <w:r>
        <w:rPr>
          <w:rFonts w:hint="eastAsia" w:ascii="仿宋_GB2312" w:eastAsia="仿宋_GB2312"/>
          <w:color w:val="auto"/>
          <w:sz w:val="32"/>
          <w:szCs w:val="32"/>
          <w:lang w:eastAsia="zh-CN"/>
        </w:rPr>
        <w:t>202</w:t>
      </w:r>
      <w:r>
        <w:rPr>
          <w:rFonts w:hint="eastAsia" w:ascii="仿宋_GB2312" w:eastAsia="仿宋_GB2312"/>
          <w:color w:val="auto"/>
          <w:sz w:val="32"/>
          <w:szCs w:val="32"/>
          <w:lang w:val="en-US" w:eastAsia="zh-CN"/>
        </w:rPr>
        <w:t>3</w:t>
      </w:r>
      <w:r>
        <w:rPr>
          <w:rFonts w:hint="eastAsia" w:ascii="仿宋_GB2312" w:eastAsia="仿宋_GB2312"/>
          <w:color w:val="auto"/>
          <w:sz w:val="32"/>
          <w:szCs w:val="32"/>
          <w:lang w:eastAsia="zh-CN"/>
        </w:rPr>
        <w:t>年</w:t>
      </w:r>
      <w:r>
        <w:rPr>
          <w:rFonts w:hint="eastAsia" w:ascii="仿宋_GB2312" w:eastAsia="仿宋_GB2312"/>
          <w:color w:val="auto"/>
          <w:sz w:val="32"/>
          <w:szCs w:val="32"/>
        </w:rPr>
        <w:t>预算数</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万元，比</w:t>
      </w:r>
      <w:r>
        <w:rPr>
          <w:rFonts w:hint="eastAsia" w:ascii="仿宋_GB2312" w:eastAsia="仿宋_GB2312"/>
          <w:color w:val="auto"/>
          <w:sz w:val="32"/>
          <w:szCs w:val="32"/>
          <w:lang w:eastAsia="zh-CN"/>
        </w:rPr>
        <w:t>2022年年初</w:t>
      </w:r>
      <w:r>
        <w:rPr>
          <w:rFonts w:hint="eastAsia" w:ascii="仿宋_GB2312" w:eastAsia="仿宋_GB2312"/>
          <w:color w:val="auto"/>
          <w:sz w:val="32"/>
          <w:szCs w:val="32"/>
        </w:rPr>
        <w:t>预算数</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万元增加</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万元</w:t>
      </w:r>
      <w:r>
        <w:rPr>
          <w:rFonts w:hint="eastAsia" w:ascii="仿宋_GB2312" w:eastAsia="仿宋_GB2312"/>
          <w:color w:val="auto"/>
          <w:sz w:val="32"/>
          <w:szCs w:val="32"/>
          <w:lang w:eastAsia="zh-CN"/>
        </w:rPr>
        <w:t>。</w:t>
      </w:r>
    </w:p>
    <w:p>
      <w:pPr>
        <w:ind w:firstLine="600"/>
        <w:rPr>
          <w:rFonts w:ascii="仿宋_GB2312" w:eastAsia="仿宋_GB2312"/>
          <w:sz w:val="32"/>
          <w:szCs w:val="32"/>
          <w:highlight w:val="none"/>
        </w:rPr>
      </w:pPr>
      <w:r>
        <w:rPr>
          <w:rFonts w:hint="eastAsia" w:ascii="仿宋_GB2312" w:hAnsi="Times New Roman" w:eastAsia="仿宋_GB2312"/>
          <w:sz w:val="32"/>
          <w:szCs w:val="32"/>
          <w:highlight w:val="none"/>
        </w:rPr>
        <w:t>3.公务用车购置和运行维护费。202</w:t>
      </w:r>
      <w:r>
        <w:rPr>
          <w:rFonts w:hint="eastAsia" w:ascii="仿宋_GB2312" w:hAnsi="Times New Roman" w:eastAsia="仿宋_GB2312"/>
          <w:sz w:val="32"/>
          <w:szCs w:val="32"/>
          <w:highlight w:val="none"/>
          <w:lang w:val="en-US" w:eastAsia="zh-CN"/>
        </w:rPr>
        <w:t>3</w:t>
      </w:r>
      <w:r>
        <w:rPr>
          <w:rFonts w:hint="eastAsia" w:ascii="仿宋_GB2312" w:hAnsi="Times New Roman" w:eastAsia="仿宋_GB2312"/>
          <w:sz w:val="32"/>
          <w:szCs w:val="32"/>
          <w:highlight w:val="none"/>
        </w:rPr>
        <w:t>年预算数</w:t>
      </w:r>
      <w:r>
        <w:rPr>
          <w:rFonts w:hint="eastAsia" w:ascii="仿宋_GB2312" w:hAnsi="Times New Roman" w:eastAsia="仿宋_GB2312"/>
          <w:sz w:val="32"/>
          <w:szCs w:val="32"/>
          <w:highlight w:val="none"/>
          <w:lang w:val="en-US" w:eastAsia="zh-CN"/>
        </w:rPr>
        <w:t>6.16</w:t>
      </w:r>
      <w:r>
        <w:rPr>
          <w:rFonts w:hint="eastAsia" w:ascii="仿宋_GB2312" w:hAnsi="Times New Roman" w:eastAsia="仿宋_GB2312"/>
          <w:sz w:val="32"/>
          <w:szCs w:val="32"/>
          <w:highlight w:val="none"/>
        </w:rPr>
        <w:t>万元，其中，公务用车购置费202</w:t>
      </w:r>
      <w:r>
        <w:rPr>
          <w:rFonts w:hint="eastAsia" w:ascii="仿宋_GB2312" w:hAnsi="Times New Roman" w:eastAsia="仿宋_GB2312"/>
          <w:sz w:val="32"/>
          <w:szCs w:val="32"/>
          <w:highlight w:val="none"/>
          <w:lang w:val="en-US" w:eastAsia="zh-CN"/>
        </w:rPr>
        <w:t>3</w:t>
      </w:r>
      <w:r>
        <w:rPr>
          <w:rFonts w:hint="eastAsia" w:ascii="仿宋_GB2312" w:hAnsi="Times New Roman" w:eastAsia="仿宋_GB2312"/>
          <w:sz w:val="32"/>
          <w:szCs w:val="32"/>
          <w:highlight w:val="none"/>
        </w:rPr>
        <w:t>年预算数</w:t>
      </w:r>
      <w:r>
        <w:rPr>
          <w:rFonts w:hint="eastAsia" w:ascii="仿宋_GB2312" w:hAnsi="Times New Roman" w:eastAsia="仿宋_GB2312"/>
          <w:sz w:val="32"/>
          <w:szCs w:val="32"/>
          <w:highlight w:val="none"/>
          <w:lang w:val="en-US" w:eastAsia="zh-CN"/>
        </w:rPr>
        <w:t>0</w:t>
      </w:r>
      <w:r>
        <w:rPr>
          <w:rFonts w:hint="eastAsia" w:ascii="仿宋_GB2312" w:hAnsi="Times New Roman" w:eastAsia="仿宋_GB2312"/>
          <w:sz w:val="32"/>
          <w:szCs w:val="32"/>
          <w:highlight w:val="none"/>
        </w:rPr>
        <w:t>万元，比202</w:t>
      </w:r>
      <w:r>
        <w:rPr>
          <w:rFonts w:hint="eastAsia" w:ascii="仿宋_GB2312" w:hAnsi="Times New Roman" w:eastAsia="仿宋_GB2312"/>
          <w:sz w:val="32"/>
          <w:szCs w:val="32"/>
          <w:highlight w:val="none"/>
          <w:lang w:val="en-US" w:eastAsia="zh-CN"/>
        </w:rPr>
        <w:t>2</w:t>
      </w:r>
      <w:r>
        <w:rPr>
          <w:rFonts w:hint="eastAsia" w:ascii="仿宋_GB2312" w:hAnsi="Times New Roman" w:eastAsia="仿宋_GB2312"/>
          <w:sz w:val="32"/>
          <w:szCs w:val="32"/>
          <w:highlight w:val="none"/>
        </w:rPr>
        <w:t>年预算数</w:t>
      </w:r>
      <w:r>
        <w:rPr>
          <w:rFonts w:hint="eastAsia" w:ascii="仿宋_GB2312" w:hAnsi="Times New Roman" w:eastAsia="仿宋_GB2312"/>
          <w:sz w:val="32"/>
          <w:szCs w:val="32"/>
          <w:highlight w:val="none"/>
          <w:lang w:val="en-US" w:eastAsia="zh-CN"/>
        </w:rPr>
        <w:t>17.98</w:t>
      </w:r>
      <w:r>
        <w:rPr>
          <w:rFonts w:hint="eastAsia" w:ascii="仿宋_GB2312" w:hAnsi="Times New Roman" w:eastAsia="仿宋_GB2312"/>
          <w:sz w:val="32"/>
          <w:szCs w:val="32"/>
          <w:highlight w:val="none"/>
        </w:rPr>
        <w:t>万元减少</w:t>
      </w:r>
      <w:r>
        <w:rPr>
          <w:rFonts w:hint="eastAsia" w:ascii="仿宋_GB2312" w:hAnsi="Times New Roman" w:eastAsia="仿宋_GB2312"/>
          <w:sz w:val="32"/>
          <w:szCs w:val="32"/>
          <w:highlight w:val="none"/>
          <w:lang w:val="en-US" w:eastAsia="zh-CN"/>
        </w:rPr>
        <w:t>17.98</w:t>
      </w:r>
      <w:r>
        <w:rPr>
          <w:rFonts w:hint="eastAsia" w:ascii="仿宋_GB2312" w:hAnsi="Times New Roman" w:eastAsia="仿宋_GB2312"/>
          <w:sz w:val="32"/>
          <w:szCs w:val="32"/>
          <w:highlight w:val="none"/>
        </w:rPr>
        <w:t>万元，主要原因：</w:t>
      </w:r>
      <w:r>
        <w:rPr>
          <w:rFonts w:hint="eastAsia" w:ascii="仿宋_GB2312" w:eastAsia="仿宋_GB2312"/>
          <w:color w:val="000000"/>
          <w:sz w:val="32"/>
          <w:szCs w:val="32"/>
        </w:rPr>
        <w:t>2023年安排公务用车更新购置数量比上年减少</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辆</w:t>
      </w:r>
      <w:r>
        <w:rPr>
          <w:rFonts w:hint="eastAsia" w:ascii="仿宋_GB2312" w:hAnsi="Times New Roman" w:eastAsia="仿宋_GB2312"/>
          <w:sz w:val="32"/>
          <w:szCs w:val="32"/>
          <w:highlight w:val="none"/>
        </w:rPr>
        <w:t>；公务用车运行维护费202</w:t>
      </w:r>
      <w:r>
        <w:rPr>
          <w:rFonts w:hint="eastAsia" w:ascii="仿宋_GB2312" w:hAnsi="Times New Roman" w:eastAsia="仿宋_GB2312"/>
          <w:sz w:val="32"/>
          <w:szCs w:val="32"/>
          <w:highlight w:val="none"/>
          <w:lang w:val="en-US" w:eastAsia="zh-CN"/>
        </w:rPr>
        <w:t>3</w:t>
      </w:r>
      <w:r>
        <w:rPr>
          <w:rFonts w:hint="eastAsia" w:ascii="仿宋_GB2312" w:hAnsi="Times New Roman" w:eastAsia="仿宋_GB2312"/>
          <w:sz w:val="32"/>
          <w:szCs w:val="32"/>
          <w:highlight w:val="none"/>
        </w:rPr>
        <w:t>年预算数</w:t>
      </w:r>
      <w:r>
        <w:rPr>
          <w:rFonts w:hint="eastAsia" w:ascii="仿宋_GB2312" w:hAnsi="Times New Roman" w:eastAsia="仿宋_GB2312"/>
          <w:sz w:val="32"/>
          <w:szCs w:val="32"/>
          <w:highlight w:val="none"/>
          <w:lang w:val="en-US" w:eastAsia="zh-CN"/>
        </w:rPr>
        <w:t>6.16</w:t>
      </w:r>
      <w:r>
        <w:rPr>
          <w:rFonts w:hint="eastAsia" w:ascii="仿宋_GB2312" w:hAnsi="Times New Roman" w:eastAsia="仿宋_GB2312"/>
          <w:sz w:val="32"/>
          <w:szCs w:val="32"/>
          <w:highlight w:val="none"/>
        </w:rPr>
        <w:t>万元，其中：公务用车</w:t>
      </w:r>
      <w:r>
        <w:rPr>
          <w:rFonts w:hint="eastAsia" w:ascii="仿宋_GB2312" w:eastAsia="仿宋_GB2312"/>
          <w:sz w:val="32"/>
          <w:szCs w:val="32"/>
          <w:highlight w:val="none"/>
          <w:lang w:val="en-US" w:eastAsia="zh-CN"/>
        </w:rPr>
        <w:t>燃</w:t>
      </w:r>
      <w:r>
        <w:rPr>
          <w:rFonts w:hint="eastAsia" w:ascii="仿宋_GB2312" w:hAnsi="Times New Roman" w:eastAsia="仿宋_GB2312"/>
          <w:sz w:val="32"/>
          <w:szCs w:val="32"/>
          <w:highlight w:val="none"/>
        </w:rPr>
        <w:t>油</w:t>
      </w:r>
      <w:r>
        <w:rPr>
          <w:rFonts w:hint="eastAsia" w:ascii="仿宋_GB2312" w:hAnsi="Times New Roman" w:eastAsia="仿宋_GB2312"/>
          <w:sz w:val="32"/>
          <w:szCs w:val="32"/>
          <w:highlight w:val="none"/>
          <w:lang w:val="en-US" w:eastAsia="zh-CN"/>
        </w:rPr>
        <w:t>2.64</w:t>
      </w:r>
      <w:r>
        <w:rPr>
          <w:rFonts w:hint="eastAsia" w:ascii="仿宋_GB2312" w:hAnsi="Times New Roman" w:eastAsia="仿宋_GB2312"/>
          <w:sz w:val="32"/>
          <w:szCs w:val="32"/>
          <w:highlight w:val="none"/>
        </w:rPr>
        <w:t>万元，公务用车维修</w:t>
      </w:r>
      <w:r>
        <w:rPr>
          <w:rFonts w:hint="eastAsia" w:ascii="仿宋_GB2312" w:hAnsi="Times New Roman" w:eastAsia="仿宋_GB2312"/>
          <w:sz w:val="32"/>
          <w:szCs w:val="32"/>
          <w:highlight w:val="none"/>
          <w:lang w:val="en-US" w:eastAsia="zh-CN"/>
        </w:rPr>
        <w:t>1.27</w:t>
      </w:r>
      <w:r>
        <w:rPr>
          <w:rFonts w:hint="eastAsia" w:ascii="仿宋_GB2312" w:hAnsi="Times New Roman" w:eastAsia="仿宋_GB2312"/>
          <w:sz w:val="32"/>
          <w:szCs w:val="32"/>
          <w:highlight w:val="none"/>
        </w:rPr>
        <w:t>万元，公务用车保险</w:t>
      </w:r>
      <w:r>
        <w:rPr>
          <w:rFonts w:hint="eastAsia" w:ascii="仿宋_GB2312" w:hAnsi="Times New Roman" w:eastAsia="仿宋_GB2312"/>
          <w:sz w:val="32"/>
          <w:szCs w:val="32"/>
          <w:highlight w:val="none"/>
          <w:lang w:val="en-US" w:eastAsia="zh-CN"/>
        </w:rPr>
        <w:t>1.27</w:t>
      </w:r>
      <w:r>
        <w:rPr>
          <w:rFonts w:hint="eastAsia" w:ascii="仿宋_GB2312" w:hAnsi="Times New Roman" w:eastAsia="仿宋_GB2312"/>
          <w:sz w:val="32"/>
          <w:szCs w:val="32"/>
          <w:highlight w:val="none"/>
        </w:rPr>
        <w:t>万元，其他</w:t>
      </w:r>
      <w:r>
        <w:rPr>
          <w:rFonts w:hint="eastAsia" w:ascii="仿宋_GB2312" w:eastAsia="仿宋_GB2312"/>
          <w:sz w:val="32"/>
          <w:szCs w:val="32"/>
          <w:highlight w:val="none"/>
          <w:lang w:val="en-US" w:eastAsia="zh-CN"/>
        </w:rPr>
        <w:t>支出</w:t>
      </w:r>
      <w:r>
        <w:rPr>
          <w:rFonts w:hint="eastAsia" w:ascii="仿宋_GB2312" w:hAnsi="Times New Roman" w:eastAsia="仿宋_GB2312"/>
          <w:sz w:val="32"/>
          <w:szCs w:val="32"/>
          <w:highlight w:val="none"/>
          <w:lang w:val="en-US" w:eastAsia="zh-CN"/>
        </w:rPr>
        <w:t>0.98</w:t>
      </w:r>
      <w:r>
        <w:rPr>
          <w:rFonts w:hint="eastAsia" w:ascii="仿宋_GB2312" w:hAnsi="Times New Roman" w:eastAsia="仿宋_GB2312"/>
          <w:sz w:val="32"/>
          <w:szCs w:val="32"/>
          <w:highlight w:val="none"/>
        </w:rPr>
        <w:t>万元。</w:t>
      </w:r>
      <w:r>
        <w:rPr>
          <w:rFonts w:hint="eastAsia" w:ascii="仿宋_GB2312" w:eastAsia="仿宋_GB2312"/>
          <w:sz w:val="32"/>
          <w:szCs w:val="32"/>
          <w:highlight w:val="none"/>
          <w:lang w:val="en-US" w:eastAsia="zh-CN"/>
        </w:rPr>
        <w:t>公务用车运行维护费2023年预算数</w:t>
      </w:r>
      <w:r>
        <w:rPr>
          <w:rFonts w:hint="eastAsia" w:ascii="仿宋_GB2312" w:hAnsi="Times New Roman" w:eastAsia="仿宋_GB2312"/>
          <w:sz w:val="32"/>
          <w:szCs w:val="32"/>
          <w:highlight w:val="none"/>
        </w:rPr>
        <w:t>比202</w:t>
      </w:r>
      <w:r>
        <w:rPr>
          <w:rFonts w:hint="eastAsia" w:ascii="仿宋_GB2312" w:hAnsi="Times New Roman" w:eastAsia="仿宋_GB2312"/>
          <w:sz w:val="32"/>
          <w:szCs w:val="32"/>
          <w:highlight w:val="none"/>
          <w:lang w:val="en-US" w:eastAsia="zh-CN"/>
        </w:rPr>
        <w:t>2</w:t>
      </w:r>
      <w:r>
        <w:rPr>
          <w:rFonts w:hint="eastAsia" w:ascii="仿宋_GB2312" w:hAnsi="Times New Roman" w:eastAsia="仿宋_GB2312"/>
          <w:sz w:val="32"/>
          <w:szCs w:val="32"/>
          <w:highlight w:val="none"/>
        </w:rPr>
        <w:t>年</w:t>
      </w:r>
      <w:r>
        <w:rPr>
          <w:rFonts w:hint="eastAsia" w:ascii="仿宋_GB2312" w:eastAsia="仿宋_GB2312"/>
          <w:sz w:val="32"/>
          <w:szCs w:val="32"/>
          <w:highlight w:val="none"/>
          <w:lang w:val="en-US" w:eastAsia="zh-CN"/>
        </w:rPr>
        <w:t>年初</w:t>
      </w:r>
      <w:r>
        <w:rPr>
          <w:rFonts w:hint="eastAsia" w:ascii="仿宋_GB2312" w:hAnsi="Times New Roman" w:eastAsia="仿宋_GB2312"/>
          <w:sz w:val="32"/>
          <w:szCs w:val="32"/>
          <w:highlight w:val="none"/>
        </w:rPr>
        <w:t>预算数</w:t>
      </w:r>
      <w:r>
        <w:rPr>
          <w:rFonts w:hint="eastAsia" w:ascii="仿宋_GB2312" w:hAnsi="Times New Roman" w:eastAsia="仿宋_GB2312"/>
          <w:sz w:val="32"/>
          <w:szCs w:val="32"/>
          <w:highlight w:val="none"/>
          <w:lang w:val="en-US" w:eastAsia="zh-CN"/>
        </w:rPr>
        <w:t>6.18</w:t>
      </w:r>
      <w:r>
        <w:rPr>
          <w:rFonts w:hint="eastAsia" w:ascii="仿宋_GB2312" w:hAnsi="Times New Roman" w:eastAsia="仿宋_GB2312"/>
          <w:sz w:val="32"/>
          <w:szCs w:val="32"/>
          <w:highlight w:val="none"/>
        </w:rPr>
        <w:t>万元减少</w:t>
      </w:r>
      <w:r>
        <w:rPr>
          <w:rFonts w:hint="eastAsia" w:ascii="仿宋_GB2312" w:hAnsi="Times New Roman" w:eastAsia="仿宋_GB2312"/>
          <w:sz w:val="32"/>
          <w:szCs w:val="32"/>
          <w:highlight w:val="none"/>
          <w:lang w:val="en-US" w:eastAsia="zh-CN"/>
        </w:rPr>
        <w:t>0.02</w:t>
      </w:r>
      <w:r>
        <w:rPr>
          <w:rFonts w:hint="eastAsia" w:ascii="仿宋_GB2312" w:hAnsi="Times New Roman" w:eastAsia="仿宋_GB2312"/>
          <w:sz w:val="32"/>
          <w:szCs w:val="32"/>
          <w:highlight w:val="none"/>
        </w:rPr>
        <w:t>万元，主要原因：</w:t>
      </w:r>
      <w:r>
        <w:rPr>
          <w:rFonts w:hint="eastAsia" w:ascii="仿宋_GB2312" w:eastAsia="仿宋_GB2312"/>
          <w:color w:val="000000"/>
          <w:sz w:val="32"/>
          <w:szCs w:val="32"/>
        </w:rPr>
        <w:t>落实政府“过紧日子”的要求，进一步压减一般性支出。</w:t>
      </w:r>
    </w:p>
    <w:p>
      <w:pPr>
        <w:spacing w:line="560" w:lineRule="exact"/>
        <w:ind w:firstLine="640" w:firstLineChars="200"/>
        <w:rPr>
          <w:rFonts w:hint="eastAsia" w:ascii="黑体" w:eastAsia="黑体"/>
          <w:color w:val="auto"/>
          <w:sz w:val="32"/>
          <w:szCs w:val="32"/>
        </w:rPr>
      </w:pPr>
      <w:r>
        <w:rPr>
          <w:rFonts w:hint="eastAsia" w:ascii="黑体" w:eastAsia="黑体"/>
          <w:color w:val="auto"/>
          <w:sz w:val="32"/>
          <w:szCs w:val="32"/>
          <w:lang w:eastAsia="zh-CN"/>
        </w:rPr>
        <w:t>五</w:t>
      </w:r>
      <w:r>
        <w:rPr>
          <w:rFonts w:hint="eastAsia" w:ascii="黑体" w:eastAsia="黑体"/>
          <w:color w:val="auto"/>
          <w:sz w:val="32"/>
          <w:szCs w:val="32"/>
        </w:rPr>
        <w:t>、其他情况说明</w:t>
      </w:r>
    </w:p>
    <w:p>
      <w:pPr>
        <w:spacing w:line="560" w:lineRule="exact"/>
        <w:ind w:firstLine="640" w:firstLineChars="200"/>
        <w:rPr>
          <w:rFonts w:hint="eastAsia" w:ascii="方正楷体_GB2312" w:eastAsia="方正楷体_GB2312"/>
          <w:color w:val="auto"/>
          <w:sz w:val="32"/>
          <w:szCs w:val="32"/>
        </w:rPr>
      </w:pPr>
      <w:r>
        <w:rPr>
          <w:rFonts w:hint="eastAsia" w:ascii="方正楷体_GB2312" w:eastAsia="方正楷体_GB2312"/>
          <w:color w:val="auto"/>
          <w:sz w:val="32"/>
          <w:szCs w:val="32"/>
        </w:rPr>
        <w:t>（一）政府采购预算说明</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lang w:eastAsia="zh-CN"/>
        </w:rPr>
        <w:t>2023年</w:t>
      </w:r>
      <w:r>
        <w:rPr>
          <w:rFonts w:hint="eastAsia" w:ascii="仿宋_GB2312" w:hAnsi="Times New Roman" w:eastAsia="仿宋_GB2312"/>
          <w:sz w:val="32"/>
          <w:szCs w:val="32"/>
          <w:highlight w:val="none"/>
          <w:lang w:val="en-US" w:eastAsia="zh-CN"/>
        </w:rPr>
        <w:t>北京考古遗址博物馆</w:t>
      </w:r>
      <w:r>
        <w:rPr>
          <w:rFonts w:hint="eastAsia" w:ascii="仿宋_GB2312" w:eastAsia="仿宋_GB2312"/>
          <w:color w:val="auto"/>
          <w:sz w:val="32"/>
          <w:szCs w:val="32"/>
        </w:rPr>
        <w:t>政府采购预算总额</w:t>
      </w:r>
      <w:r>
        <w:rPr>
          <w:rFonts w:hint="eastAsia" w:ascii="仿宋_GB2312" w:eastAsia="仿宋_GB2312"/>
          <w:color w:val="auto"/>
          <w:sz w:val="32"/>
          <w:szCs w:val="32"/>
          <w:lang w:eastAsia="zh-CN"/>
        </w:rPr>
        <w:t>2</w:t>
      </w:r>
      <w:r>
        <w:rPr>
          <w:rFonts w:hint="eastAsia" w:ascii="仿宋_GB2312" w:eastAsia="仿宋_GB2312"/>
          <w:color w:val="auto"/>
          <w:sz w:val="32"/>
          <w:szCs w:val="32"/>
          <w:lang w:val="en-US" w:eastAsia="zh-CN"/>
        </w:rPr>
        <w:t>88.66</w:t>
      </w:r>
      <w:r>
        <w:rPr>
          <w:rFonts w:hint="eastAsia" w:ascii="仿宋_GB2312" w:eastAsia="仿宋_GB2312"/>
          <w:color w:val="auto"/>
          <w:sz w:val="32"/>
          <w:szCs w:val="32"/>
        </w:rPr>
        <w:t>万元，其中：政府采购货物预算</w:t>
      </w:r>
      <w:r>
        <w:rPr>
          <w:rFonts w:hint="eastAsia" w:ascii="仿宋_GB2312" w:eastAsia="仿宋_GB2312"/>
          <w:color w:val="auto"/>
          <w:sz w:val="32"/>
          <w:szCs w:val="32"/>
          <w:lang w:eastAsia="zh-CN"/>
        </w:rPr>
        <w:t>4</w:t>
      </w:r>
      <w:r>
        <w:rPr>
          <w:rFonts w:hint="eastAsia" w:ascii="仿宋_GB2312" w:eastAsia="仿宋_GB2312"/>
          <w:color w:val="auto"/>
          <w:sz w:val="32"/>
          <w:szCs w:val="32"/>
          <w:lang w:val="en-US" w:eastAsia="zh-CN"/>
        </w:rPr>
        <w:t>1.12</w:t>
      </w:r>
      <w:r>
        <w:rPr>
          <w:rFonts w:hint="eastAsia" w:ascii="仿宋_GB2312" w:eastAsia="仿宋_GB2312"/>
          <w:color w:val="auto"/>
          <w:sz w:val="32"/>
          <w:szCs w:val="32"/>
        </w:rPr>
        <w:t>万元，政府采购工程预算</w:t>
      </w:r>
      <w:r>
        <w:rPr>
          <w:rFonts w:hint="eastAsia" w:ascii="仿宋_GB2312" w:eastAsia="仿宋_GB2312"/>
          <w:color w:val="auto"/>
          <w:sz w:val="32"/>
          <w:szCs w:val="32"/>
          <w:lang w:eastAsia="zh-CN"/>
        </w:rPr>
        <w:t>1</w:t>
      </w:r>
      <w:r>
        <w:rPr>
          <w:rFonts w:hint="eastAsia" w:ascii="仿宋_GB2312" w:eastAsia="仿宋_GB2312"/>
          <w:color w:val="auto"/>
          <w:sz w:val="32"/>
          <w:szCs w:val="32"/>
          <w:lang w:val="en-US" w:eastAsia="zh-CN"/>
        </w:rPr>
        <w:t>34.17</w:t>
      </w:r>
      <w:r>
        <w:rPr>
          <w:rFonts w:hint="eastAsia" w:ascii="仿宋_GB2312" w:eastAsia="仿宋_GB2312"/>
          <w:color w:val="auto"/>
          <w:sz w:val="32"/>
          <w:szCs w:val="32"/>
        </w:rPr>
        <w:t>万元，政府采购服务预算</w:t>
      </w:r>
      <w:r>
        <w:rPr>
          <w:rFonts w:hint="eastAsia" w:ascii="仿宋_GB2312" w:eastAsia="仿宋_GB2312"/>
          <w:color w:val="auto"/>
          <w:sz w:val="32"/>
          <w:szCs w:val="32"/>
          <w:lang w:eastAsia="zh-CN"/>
        </w:rPr>
        <w:t>1</w:t>
      </w:r>
      <w:r>
        <w:rPr>
          <w:rFonts w:hint="eastAsia" w:ascii="仿宋_GB2312" w:eastAsia="仿宋_GB2312"/>
          <w:color w:val="auto"/>
          <w:sz w:val="32"/>
          <w:szCs w:val="32"/>
          <w:lang w:val="en-US" w:eastAsia="zh-CN"/>
        </w:rPr>
        <w:t>13.37</w:t>
      </w:r>
      <w:r>
        <w:rPr>
          <w:rFonts w:hint="eastAsia" w:ascii="仿宋_GB2312" w:eastAsia="仿宋_GB2312"/>
          <w:color w:val="auto"/>
          <w:sz w:val="32"/>
          <w:szCs w:val="32"/>
        </w:rPr>
        <w:t>万元。</w:t>
      </w:r>
    </w:p>
    <w:p>
      <w:pPr>
        <w:spacing w:line="560" w:lineRule="exact"/>
        <w:ind w:firstLine="640" w:firstLineChars="200"/>
        <w:rPr>
          <w:rFonts w:hint="eastAsia" w:ascii="方正楷体_GB2312" w:eastAsia="方正楷体_GB2312"/>
          <w:color w:val="auto"/>
          <w:sz w:val="32"/>
          <w:szCs w:val="32"/>
        </w:rPr>
      </w:pPr>
      <w:r>
        <w:rPr>
          <w:rFonts w:hint="eastAsia" w:ascii="方正楷体_GB2312" w:eastAsia="方正楷体_GB2312"/>
          <w:color w:val="auto"/>
          <w:sz w:val="32"/>
          <w:szCs w:val="32"/>
        </w:rPr>
        <w:t>（二）政府购买服务预算说明</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lang w:eastAsia="zh-CN"/>
        </w:rPr>
        <w:t>2023年</w:t>
      </w:r>
      <w:r>
        <w:rPr>
          <w:rFonts w:hint="eastAsia" w:ascii="仿宋_GB2312" w:eastAsia="仿宋_GB2312"/>
          <w:color w:val="auto"/>
          <w:sz w:val="32"/>
          <w:szCs w:val="32"/>
          <w:lang w:val="en-US" w:eastAsia="zh-CN"/>
        </w:rPr>
        <w:t>北京考古遗址博物馆</w:t>
      </w:r>
      <w:r>
        <w:rPr>
          <w:rFonts w:hint="eastAsia" w:ascii="仿宋_GB2312" w:eastAsia="仿宋_GB2312"/>
          <w:color w:val="auto"/>
          <w:sz w:val="32"/>
          <w:szCs w:val="32"/>
        </w:rPr>
        <w:t>政府购买服务预算总额</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万元。</w:t>
      </w:r>
    </w:p>
    <w:p>
      <w:pPr>
        <w:spacing w:line="560" w:lineRule="exact"/>
        <w:ind w:firstLine="640" w:firstLineChars="200"/>
        <w:rPr>
          <w:rFonts w:hint="eastAsia" w:ascii="方正楷体_GB2312" w:eastAsia="方正楷体_GB2312"/>
          <w:color w:val="auto"/>
          <w:sz w:val="32"/>
          <w:szCs w:val="32"/>
        </w:rPr>
      </w:pPr>
      <w:r>
        <w:rPr>
          <w:rFonts w:hint="eastAsia" w:ascii="方正楷体_GB2312" w:eastAsia="方正楷体_GB2312"/>
          <w:color w:val="auto"/>
          <w:sz w:val="32"/>
          <w:szCs w:val="32"/>
        </w:rPr>
        <w:t>（三）机关运行经费说明</w:t>
      </w:r>
    </w:p>
    <w:p>
      <w:pPr>
        <w:spacing w:line="560" w:lineRule="exact"/>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eastAsia="zh-CN"/>
        </w:rPr>
        <w:t>我</w:t>
      </w:r>
      <w:r>
        <w:rPr>
          <w:rFonts w:hint="eastAsia" w:ascii="仿宋_GB2312" w:eastAsia="仿宋_GB2312"/>
          <w:color w:val="auto"/>
          <w:sz w:val="32"/>
          <w:szCs w:val="32"/>
          <w:lang w:val="en-US" w:eastAsia="zh-CN"/>
        </w:rPr>
        <w:t>单位不在机关运行经费统计范围之内。</w:t>
      </w:r>
    </w:p>
    <w:p>
      <w:pPr>
        <w:spacing w:line="560" w:lineRule="exact"/>
        <w:ind w:firstLine="640" w:firstLineChars="200"/>
        <w:rPr>
          <w:rFonts w:hint="eastAsia" w:ascii="方正楷体_GB2312" w:eastAsia="方正楷体_GB2312"/>
          <w:color w:val="auto"/>
          <w:sz w:val="32"/>
          <w:szCs w:val="32"/>
        </w:rPr>
      </w:pPr>
      <w:r>
        <w:rPr>
          <w:rFonts w:hint="eastAsia" w:ascii="方正楷体_GB2312" w:eastAsia="方正楷体_GB2312"/>
          <w:color w:val="auto"/>
          <w:sz w:val="32"/>
          <w:szCs w:val="32"/>
        </w:rPr>
        <w:t>（四）项目支出绩效目标情况说明</w:t>
      </w:r>
    </w:p>
    <w:p>
      <w:pPr>
        <w:ind w:firstLine="600" w:firstLineChars="0"/>
        <w:rPr>
          <w:rFonts w:hint="eastAsia" w:ascii="仿宋_GB2312" w:hAnsi="Times New Roman" w:eastAsia="仿宋_GB2312"/>
          <w:sz w:val="32"/>
          <w:szCs w:val="32"/>
          <w:highlight w:val="none"/>
        </w:rPr>
      </w:pPr>
      <w:r>
        <w:rPr>
          <w:rFonts w:hint="eastAsia" w:ascii="仿宋_GB2312" w:hAnsi="Times New Roman" w:eastAsia="仿宋_GB2312"/>
          <w:sz w:val="32"/>
          <w:szCs w:val="32"/>
          <w:highlight w:val="none"/>
        </w:rPr>
        <w:t>202</w:t>
      </w:r>
      <w:r>
        <w:rPr>
          <w:rFonts w:hint="eastAsia" w:ascii="仿宋_GB2312" w:hAnsi="Times New Roman" w:eastAsia="仿宋_GB2312"/>
          <w:sz w:val="32"/>
          <w:szCs w:val="32"/>
          <w:highlight w:val="none"/>
          <w:lang w:val="en-US" w:eastAsia="zh-CN"/>
        </w:rPr>
        <w:t>3</w:t>
      </w:r>
      <w:r>
        <w:rPr>
          <w:rFonts w:hint="eastAsia" w:ascii="仿宋_GB2312" w:hAnsi="Times New Roman" w:eastAsia="仿宋_GB2312"/>
          <w:sz w:val="32"/>
          <w:szCs w:val="32"/>
          <w:highlight w:val="none"/>
        </w:rPr>
        <w:t>年，</w:t>
      </w:r>
      <w:r>
        <w:rPr>
          <w:rFonts w:hint="eastAsia" w:ascii="仿宋_GB2312" w:hAnsi="Times New Roman" w:eastAsia="仿宋_GB2312"/>
          <w:sz w:val="32"/>
          <w:szCs w:val="32"/>
          <w:highlight w:val="none"/>
          <w:lang w:val="en-US" w:eastAsia="zh-CN"/>
        </w:rPr>
        <w:t>北京考古遗址博物馆</w:t>
      </w:r>
      <w:r>
        <w:rPr>
          <w:rFonts w:hint="eastAsia" w:ascii="仿宋_GB2312" w:hAnsi="Times New Roman" w:eastAsia="仿宋_GB2312"/>
          <w:sz w:val="32"/>
          <w:szCs w:val="32"/>
          <w:highlight w:val="none"/>
        </w:rPr>
        <w:t>填报绩效目标的预算项目</w:t>
      </w:r>
      <w:r>
        <w:rPr>
          <w:rFonts w:hint="eastAsia" w:ascii="仿宋_GB2312" w:hAnsi="Times New Roman" w:eastAsia="仿宋_GB2312"/>
          <w:sz w:val="32"/>
          <w:szCs w:val="32"/>
          <w:highlight w:val="none"/>
          <w:lang w:val="en-US" w:eastAsia="zh-CN"/>
        </w:rPr>
        <w:t>13</w:t>
      </w:r>
      <w:r>
        <w:rPr>
          <w:rFonts w:hint="eastAsia" w:ascii="仿宋_GB2312" w:hAnsi="Times New Roman" w:eastAsia="仿宋_GB2312"/>
          <w:sz w:val="32"/>
          <w:szCs w:val="32"/>
          <w:highlight w:val="none"/>
        </w:rPr>
        <w:t>个，占</w:t>
      </w:r>
      <w:r>
        <w:rPr>
          <w:rFonts w:hint="eastAsia" w:ascii="仿宋_GB2312" w:eastAsia="仿宋_GB2312"/>
          <w:sz w:val="32"/>
          <w:szCs w:val="32"/>
          <w:highlight w:val="none"/>
          <w:lang w:val="en-US" w:eastAsia="zh-CN"/>
        </w:rPr>
        <w:t>本单位本年</w:t>
      </w:r>
      <w:r>
        <w:rPr>
          <w:rFonts w:hint="eastAsia" w:ascii="仿宋_GB2312" w:hAnsi="Times New Roman" w:eastAsia="仿宋_GB2312"/>
          <w:sz w:val="32"/>
          <w:szCs w:val="32"/>
          <w:highlight w:val="none"/>
        </w:rPr>
        <w:t>预算项目</w:t>
      </w:r>
      <w:r>
        <w:rPr>
          <w:rFonts w:hint="eastAsia" w:ascii="仿宋_GB2312" w:hAnsi="Times New Roman" w:eastAsia="仿宋_GB2312"/>
          <w:sz w:val="32"/>
          <w:szCs w:val="32"/>
          <w:highlight w:val="none"/>
          <w:lang w:val="en-US" w:eastAsia="zh-CN"/>
        </w:rPr>
        <w:t>13</w:t>
      </w:r>
      <w:r>
        <w:rPr>
          <w:rFonts w:hint="eastAsia" w:ascii="仿宋_GB2312" w:hAnsi="Times New Roman" w:eastAsia="仿宋_GB2312"/>
          <w:sz w:val="32"/>
          <w:szCs w:val="32"/>
          <w:highlight w:val="none"/>
        </w:rPr>
        <w:t>个的</w:t>
      </w:r>
      <w:r>
        <w:rPr>
          <w:rFonts w:hint="eastAsia" w:ascii="仿宋_GB2312" w:hAnsi="Times New Roman" w:eastAsia="仿宋_GB2312"/>
          <w:sz w:val="32"/>
          <w:szCs w:val="32"/>
          <w:highlight w:val="none"/>
          <w:lang w:val="en-US" w:eastAsia="zh-CN"/>
        </w:rPr>
        <w:t>100</w:t>
      </w:r>
      <w:r>
        <w:rPr>
          <w:rFonts w:hint="eastAsia" w:ascii="仿宋_GB2312" w:hAnsi="Times New Roman" w:eastAsia="仿宋_GB2312"/>
          <w:sz w:val="32"/>
          <w:szCs w:val="32"/>
          <w:highlight w:val="none"/>
        </w:rPr>
        <w:t>%。填报绩效目标的项目支出预算</w:t>
      </w:r>
      <w:r>
        <w:rPr>
          <w:rFonts w:hint="eastAsia" w:ascii="仿宋_GB2312" w:hAnsi="Times New Roman" w:eastAsia="仿宋_GB2312"/>
          <w:sz w:val="32"/>
          <w:szCs w:val="32"/>
          <w:highlight w:val="none"/>
          <w:lang w:val="en-US" w:eastAsia="zh-CN"/>
        </w:rPr>
        <w:t>716.44</w:t>
      </w:r>
      <w:r>
        <w:rPr>
          <w:rFonts w:hint="eastAsia" w:ascii="仿宋_GB2312" w:hAnsi="Times New Roman" w:eastAsia="仿宋_GB2312"/>
          <w:sz w:val="32"/>
          <w:szCs w:val="32"/>
          <w:highlight w:val="none"/>
        </w:rPr>
        <w:t>万元，占本</w:t>
      </w:r>
      <w:r>
        <w:rPr>
          <w:rFonts w:hint="eastAsia" w:ascii="仿宋_GB2312" w:eastAsia="仿宋_GB2312"/>
          <w:sz w:val="32"/>
          <w:szCs w:val="32"/>
          <w:highlight w:val="none"/>
          <w:lang w:val="en-US" w:eastAsia="zh-CN"/>
        </w:rPr>
        <w:t>单位本年项目</w:t>
      </w:r>
      <w:r>
        <w:rPr>
          <w:rFonts w:hint="eastAsia" w:ascii="仿宋_GB2312" w:hAnsi="Times New Roman" w:eastAsia="仿宋_GB2312"/>
          <w:sz w:val="32"/>
          <w:szCs w:val="32"/>
          <w:highlight w:val="none"/>
        </w:rPr>
        <w:t>支出预算的</w:t>
      </w:r>
      <w:r>
        <w:rPr>
          <w:rFonts w:hint="eastAsia" w:ascii="仿宋_GB2312" w:hAnsi="Times New Roman" w:eastAsia="仿宋_GB2312"/>
          <w:sz w:val="32"/>
          <w:szCs w:val="32"/>
          <w:highlight w:val="none"/>
          <w:lang w:val="en-US" w:eastAsia="zh-CN"/>
        </w:rPr>
        <w:t>100</w:t>
      </w:r>
      <w:r>
        <w:rPr>
          <w:rFonts w:hint="eastAsia" w:ascii="仿宋_GB2312" w:hAnsi="Times New Roman" w:eastAsia="仿宋_GB2312"/>
          <w:sz w:val="32"/>
          <w:szCs w:val="32"/>
          <w:highlight w:val="none"/>
        </w:rPr>
        <w:t>%。</w:t>
      </w:r>
    </w:p>
    <w:p>
      <w:pPr>
        <w:spacing w:line="560" w:lineRule="exact"/>
        <w:ind w:firstLine="640" w:firstLineChars="200"/>
        <w:rPr>
          <w:rFonts w:hint="eastAsia" w:ascii="方正楷体_GB2312" w:eastAsia="方正楷体_GB2312"/>
          <w:color w:val="auto"/>
          <w:sz w:val="32"/>
          <w:szCs w:val="32"/>
        </w:rPr>
      </w:pPr>
      <w:r>
        <w:rPr>
          <w:rFonts w:hint="eastAsia" w:ascii="方正楷体_GB2312" w:eastAsia="方正楷体_GB2312"/>
          <w:color w:val="auto"/>
          <w:sz w:val="32"/>
          <w:szCs w:val="32"/>
        </w:rPr>
        <w:t>（五）重点行政事业性收费情况说明</w:t>
      </w:r>
    </w:p>
    <w:p>
      <w:pPr>
        <w:ind w:firstLine="600" w:firstLineChars="0"/>
        <w:rPr>
          <w:rFonts w:hint="eastAsia" w:ascii="仿宋_GB2312" w:hAnsi="Times New Roman" w:eastAsia="仿宋_GB2312"/>
          <w:sz w:val="32"/>
          <w:szCs w:val="32"/>
          <w:highlight w:val="none"/>
          <w:lang w:eastAsia="zh-CN"/>
        </w:rPr>
      </w:pPr>
      <w:r>
        <w:rPr>
          <w:rFonts w:hint="eastAsia" w:ascii="仿宋_GB2312" w:hAnsi="Times New Roman" w:eastAsia="仿宋_GB2312"/>
          <w:sz w:val="32"/>
          <w:szCs w:val="32"/>
          <w:highlight w:val="none"/>
        </w:rPr>
        <w:t>本</w:t>
      </w:r>
      <w:r>
        <w:rPr>
          <w:rFonts w:hint="eastAsia" w:ascii="仿宋_GB2312" w:hAnsi="Times New Roman" w:eastAsia="仿宋_GB2312"/>
          <w:sz w:val="32"/>
          <w:szCs w:val="32"/>
          <w:highlight w:val="none"/>
          <w:lang w:val="en-US" w:eastAsia="zh-CN"/>
        </w:rPr>
        <w:t>单位</w:t>
      </w:r>
      <w:r>
        <w:rPr>
          <w:rFonts w:hint="eastAsia" w:ascii="仿宋_GB2312" w:hAnsi="Times New Roman" w:eastAsia="仿宋_GB2312"/>
          <w:sz w:val="32"/>
          <w:szCs w:val="32"/>
          <w:highlight w:val="none"/>
        </w:rPr>
        <w:t>202</w:t>
      </w:r>
      <w:r>
        <w:rPr>
          <w:rFonts w:hint="eastAsia" w:ascii="仿宋_GB2312" w:hAnsi="Times New Roman" w:eastAsia="仿宋_GB2312"/>
          <w:sz w:val="32"/>
          <w:szCs w:val="32"/>
          <w:highlight w:val="none"/>
          <w:lang w:val="en-US" w:eastAsia="zh-CN"/>
        </w:rPr>
        <w:t>3</w:t>
      </w:r>
      <w:r>
        <w:rPr>
          <w:rFonts w:hint="eastAsia" w:ascii="仿宋_GB2312" w:hAnsi="Times New Roman" w:eastAsia="仿宋_GB2312"/>
          <w:sz w:val="32"/>
          <w:szCs w:val="32"/>
          <w:highlight w:val="none"/>
        </w:rPr>
        <w:t>年无重点行政事业性收费</w:t>
      </w:r>
      <w:r>
        <w:rPr>
          <w:rFonts w:hint="eastAsia" w:ascii="仿宋_GB2312" w:eastAsia="仿宋_GB2312"/>
          <w:sz w:val="32"/>
          <w:szCs w:val="32"/>
          <w:highlight w:val="none"/>
          <w:lang w:eastAsia="zh-CN"/>
        </w:rPr>
        <w:t>。</w:t>
      </w:r>
      <w:bookmarkStart w:id="0" w:name="_GoBack"/>
      <w:bookmarkEnd w:id="0"/>
    </w:p>
    <w:p>
      <w:pPr>
        <w:spacing w:line="560" w:lineRule="exact"/>
        <w:ind w:firstLine="640" w:firstLineChars="200"/>
        <w:rPr>
          <w:rFonts w:hint="eastAsia" w:ascii="方正楷体_GB2312" w:eastAsia="方正楷体_GB2312"/>
          <w:color w:val="auto"/>
          <w:sz w:val="32"/>
          <w:szCs w:val="32"/>
        </w:rPr>
      </w:pPr>
      <w:r>
        <w:rPr>
          <w:rFonts w:hint="eastAsia" w:ascii="方正楷体_GB2312" w:eastAsia="方正楷体_GB2312"/>
          <w:color w:val="auto"/>
          <w:sz w:val="32"/>
          <w:szCs w:val="32"/>
        </w:rPr>
        <w:t>（六）国有资本经营预算财政拨款情况说明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auto"/>
          <w:sz w:val="32"/>
          <w:szCs w:val="32"/>
        </w:rPr>
        <w:t>本单位</w:t>
      </w:r>
      <w:r>
        <w:rPr>
          <w:rFonts w:hint="eastAsia" w:ascii="仿宋_GB2312" w:eastAsia="仿宋_GB2312"/>
          <w:color w:val="auto"/>
          <w:sz w:val="32"/>
          <w:szCs w:val="32"/>
          <w:lang w:eastAsia="zh-CN"/>
        </w:rPr>
        <w:t>2023</w:t>
      </w:r>
      <w:r>
        <w:rPr>
          <w:rFonts w:hint="eastAsia" w:ascii="仿宋_GB2312" w:eastAsia="仿宋_GB2312"/>
          <w:color w:val="000000"/>
          <w:sz w:val="32"/>
          <w:szCs w:val="32"/>
          <w:lang w:eastAsia="zh-CN"/>
        </w:rPr>
        <w:t>年</w:t>
      </w:r>
      <w:r>
        <w:rPr>
          <w:rFonts w:hint="eastAsia" w:ascii="仿宋_GB2312" w:eastAsia="仿宋_GB2312"/>
          <w:color w:val="000000"/>
          <w:sz w:val="32"/>
          <w:szCs w:val="32"/>
        </w:rPr>
        <w:t>无国有资本经营预算财政拨款安排的预算</w:t>
      </w:r>
      <w:r>
        <w:rPr>
          <w:rFonts w:hint="eastAsia" w:ascii="仿宋_GB2312" w:eastAsia="仿宋_GB2312"/>
          <w:color w:val="000000"/>
          <w:sz w:val="32"/>
          <w:szCs w:val="32"/>
          <w:lang w:eastAsia="zh-CN"/>
        </w:rPr>
        <w:t>。</w:t>
      </w:r>
      <w:r>
        <w:rPr>
          <w:rFonts w:hint="eastAsia" w:ascii="仿宋_GB2312" w:eastAsia="仿宋_GB2312"/>
          <w:color w:val="000000"/>
          <w:sz w:val="32"/>
          <w:szCs w:val="32"/>
        </w:rPr>
        <w:t xml:space="preserve">   </w:t>
      </w:r>
    </w:p>
    <w:p>
      <w:pPr>
        <w:spacing w:line="560" w:lineRule="exact"/>
        <w:ind w:firstLine="640" w:firstLineChars="200"/>
        <w:rPr>
          <w:rFonts w:hint="eastAsia" w:ascii="方正楷体_GB2312" w:eastAsia="方正楷体_GB2312"/>
          <w:color w:val="000000"/>
          <w:sz w:val="32"/>
          <w:szCs w:val="32"/>
        </w:rPr>
      </w:pPr>
      <w:r>
        <w:rPr>
          <w:rFonts w:hint="eastAsia" w:ascii="方正楷体_GB2312" w:eastAsia="方正楷体_GB2312"/>
          <w:color w:val="000000"/>
          <w:sz w:val="32"/>
          <w:szCs w:val="32"/>
        </w:rPr>
        <w:t>（七）国有资产占用情况说明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截至</w:t>
      </w:r>
      <w:r>
        <w:rPr>
          <w:rFonts w:hint="eastAsia" w:ascii="仿宋_GB2312" w:eastAsia="仿宋_GB2312"/>
          <w:color w:val="000000"/>
          <w:sz w:val="32"/>
          <w:szCs w:val="32"/>
          <w:lang w:eastAsia="zh-CN"/>
        </w:rPr>
        <w:t>2023年</w:t>
      </w:r>
      <w:r>
        <w:rPr>
          <w:rFonts w:hint="eastAsia" w:ascii="仿宋_GB2312" w:eastAsia="仿宋_GB2312"/>
          <w:color w:val="000000"/>
          <w:sz w:val="32"/>
          <w:szCs w:val="32"/>
        </w:rPr>
        <w:t>底，</w:t>
      </w:r>
      <w:r>
        <w:rPr>
          <w:rFonts w:hint="eastAsia" w:ascii="仿宋_GB2312" w:eastAsia="仿宋_GB2312"/>
          <w:color w:val="000000"/>
          <w:sz w:val="32"/>
          <w:szCs w:val="32"/>
          <w:lang w:val="en-US" w:eastAsia="zh-CN"/>
        </w:rPr>
        <w:t>北京考古遗址博物馆</w:t>
      </w:r>
      <w:r>
        <w:rPr>
          <w:rFonts w:hint="eastAsia" w:ascii="仿宋_GB2312" w:eastAsia="仿宋_GB2312"/>
          <w:color w:val="000000"/>
          <w:sz w:val="32"/>
          <w:szCs w:val="32"/>
        </w:rPr>
        <w:t>共有车辆</w:t>
      </w:r>
      <w:r>
        <w:rPr>
          <w:rFonts w:hint="eastAsia" w:ascii="仿宋_GB2312" w:eastAsia="仿宋_GB2312"/>
          <w:color w:val="000000"/>
          <w:sz w:val="32"/>
          <w:szCs w:val="32"/>
          <w:lang w:val="en-US" w:eastAsia="zh-CN"/>
        </w:rPr>
        <w:t>3</w:t>
      </w:r>
      <w:r>
        <w:rPr>
          <w:rFonts w:hint="eastAsia" w:ascii="仿宋_GB2312" w:eastAsia="仿宋_GB2312"/>
          <w:color w:val="000000"/>
          <w:sz w:val="32"/>
          <w:szCs w:val="32"/>
        </w:rPr>
        <w:t>台，共计</w:t>
      </w:r>
      <w:r>
        <w:rPr>
          <w:rFonts w:hint="eastAsia" w:ascii="仿宋_GB2312" w:eastAsia="仿宋_GB2312"/>
          <w:color w:val="000000"/>
          <w:sz w:val="32"/>
          <w:szCs w:val="32"/>
          <w:lang w:val="en-US" w:eastAsia="zh-CN"/>
        </w:rPr>
        <w:t>55.18</w:t>
      </w:r>
      <w:r>
        <w:rPr>
          <w:rFonts w:hint="eastAsia" w:ascii="仿宋_GB2312" w:eastAsia="仿宋_GB2312"/>
          <w:color w:val="000000"/>
          <w:sz w:val="32"/>
          <w:szCs w:val="32"/>
        </w:rPr>
        <w:t>万元；单位价值50万元以上的通用设备</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台（套），共计</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万元，单位价值100万元以上的专用设备</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台（套）、共计</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p>
    <w:p>
      <w:pPr>
        <w:numPr>
          <w:ilvl w:val="0"/>
          <w:numId w:val="0"/>
        </w:numPr>
        <w:spacing w:line="560" w:lineRule="exact"/>
        <w:rPr>
          <w:rFonts w:hint="eastAsia" w:ascii="仿宋_GB2312" w:eastAsia="仿宋_GB2312"/>
          <w:color w:val="000000"/>
          <w:sz w:val="32"/>
          <w:szCs w:val="32"/>
        </w:rPr>
      </w:pPr>
      <w:r>
        <w:rPr>
          <w:rFonts w:hint="eastAsia" w:asci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Pr>
        <w:spacing w:line="560" w:lineRule="exact"/>
        <w:ind w:firstLine="640" w:firstLineChars="200"/>
        <w:rPr>
          <w:rFonts w:hint="eastAsia" w:ascii="仿宋_GB2312" w:eastAsia="仿宋_GB2312"/>
          <w:color w:val="000000"/>
          <w:sz w:val="32"/>
          <w:szCs w:val="32"/>
        </w:rPr>
      </w:pPr>
    </w:p>
    <w:p>
      <w:pPr>
        <w:spacing w:line="560" w:lineRule="exact"/>
        <w:jc w:val="center"/>
        <w:rPr>
          <w:rFonts w:hint="eastAsia" w:ascii="方正小标宋简体" w:eastAsia="方正小标宋简体"/>
          <w:color w:val="000000"/>
          <w:sz w:val="36"/>
          <w:szCs w:val="36"/>
        </w:rPr>
      </w:pPr>
    </w:p>
    <w:p>
      <w:pPr>
        <w:spacing w:line="560" w:lineRule="exact"/>
        <w:jc w:val="center"/>
        <w:rPr>
          <w:rFonts w:hint="eastAsia" w:ascii="方正小标宋简体" w:eastAsia="方正小标宋简体"/>
          <w:color w:val="000000"/>
          <w:sz w:val="36"/>
          <w:szCs w:val="36"/>
        </w:rPr>
      </w:pPr>
      <w:r>
        <w:rPr>
          <w:rFonts w:hint="eastAsia" w:ascii="方正小标宋简体" w:eastAsia="方正小标宋简体"/>
          <w:color w:val="000000"/>
          <w:sz w:val="36"/>
          <w:szCs w:val="36"/>
        </w:rPr>
        <w:t xml:space="preserve">第二部分  </w:t>
      </w:r>
      <w:r>
        <w:rPr>
          <w:rFonts w:hint="eastAsia" w:ascii="方正小标宋简体" w:eastAsia="方正小标宋简体"/>
          <w:color w:val="000000"/>
          <w:sz w:val="36"/>
          <w:szCs w:val="36"/>
          <w:lang w:eastAsia="zh-CN"/>
        </w:rPr>
        <w:t>2023年度</w:t>
      </w:r>
      <w:r>
        <w:rPr>
          <w:rFonts w:hint="eastAsia" w:ascii="方正小标宋简体" w:eastAsia="方正小标宋简体"/>
          <w:color w:val="000000"/>
          <w:sz w:val="36"/>
          <w:szCs w:val="36"/>
        </w:rPr>
        <w:t>单位预算报表</w:t>
      </w:r>
    </w:p>
    <w:p>
      <w:pPr>
        <w:autoSpaceDE w:val="0"/>
        <w:autoSpaceDN w:val="0"/>
        <w:adjustRightInd w:val="0"/>
        <w:spacing w:line="560" w:lineRule="exact"/>
        <w:jc w:val="left"/>
        <w:rPr>
          <w:rFonts w:hint="eastAsia" w:ascii="方正小标宋简体" w:eastAsia="方正小标宋简体"/>
          <w:color w:val="000000"/>
          <w:sz w:val="36"/>
          <w:szCs w:val="36"/>
        </w:rPr>
      </w:pPr>
    </w:p>
    <w:p>
      <w:pPr>
        <w:spacing w:line="560" w:lineRule="exact"/>
        <w:rPr>
          <w:rFonts w:hint="eastAsia" w:ascii="仿宋_GB2312" w:eastAsia="仿宋_GB2312"/>
          <w:color w:val="000000"/>
          <w:sz w:val="32"/>
          <w:szCs w:val="32"/>
        </w:rPr>
      </w:pPr>
      <w:r>
        <w:rPr>
          <w:rFonts w:hint="eastAsia" w:ascii="仿宋_GB2312" w:eastAsia="仿宋_GB2312"/>
          <w:color w:val="000000"/>
          <w:sz w:val="32"/>
          <w:szCs w:val="32"/>
        </w:rPr>
        <w:t>附件：</w:t>
      </w:r>
      <w:r>
        <w:rPr>
          <w:rFonts w:hint="eastAsia" w:ascii="仿宋_GB2312" w:eastAsia="仿宋_GB2312"/>
          <w:color w:val="000000"/>
          <w:sz w:val="32"/>
          <w:szCs w:val="32"/>
          <w:lang w:val="en-US" w:eastAsia="zh-CN"/>
        </w:rPr>
        <w:t>北京考古遗址博物馆</w:t>
      </w:r>
      <w:r>
        <w:rPr>
          <w:rFonts w:hint="eastAsia" w:ascii="仿宋_GB2312" w:eastAsia="仿宋_GB2312"/>
          <w:color w:val="000000"/>
          <w:sz w:val="32"/>
          <w:szCs w:val="32"/>
          <w:lang w:eastAsia="zh-CN"/>
        </w:rPr>
        <w:t>2023年</w:t>
      </w:r>
      <w:r>
        <w:rPr>
          <w:rFonts w:hint="eastAsia" w:ascii="仿宋_GB2312" w:eastAsia="仿宋_GB2312"/>
          <w:color w:val="000000"/>
          <w:sz w:val="32"/>
          <w:szCs w:val="32"/>
        </w:rPr>
        <w:t>度单位预算报表</w:t>
      </w:r>
      <w:r>
        <w:rPr>
          <w:rFonts w:hint="eastAsia" w:ascii="仿宋_GB2312" w:eastAsia="仿宋_GB2312" w:cs="宋体"/>
          <w:color w:val="000000"/>
          <w:kern w:val="0"/>
          <w:sz w:val="32"/>
          <w:szCs w:val="32"/>
          <w:lang w:val="zh-CN"/>
        </w:rPr>
        <w:t xml:space="preserve"> </w:t>
      </w:r>
    </w:p>
    <w:p>
      <w:pPr>
        <w:spacing w:line="560" w:lineRule="exact"/>
        <w:rPr>
          <w:rFonts w:hint="eastAsia" w:ascii="仿宋_GB2312" w:eastAsia="仿宋_GB2312"/>
          <w:color w:val="000000"/>
          <w:sz w:val="32"/>
          <w:szCs w:val="32"/>
        </w:rPr>
      </w:pPr>
    </w:p>
    <w:p>
      <w:pPr>
        <w:rPr>
          <w:rFonts w:hint="eastAsia" w:ascii="仿宋_GB2312" w:eastAsia="仿宋_GB2312"/>
          <w:sz w:val="32"/>
          <w:szCs w:val="32"/>
        </w:rPr>
      </w:pPr>
    </w:p>
    <w:p/>
    <w:sectPr>
      <w:footerReference r:id="rId3" w:type="default"/>
      <w:pgSz w:w="11906" w:h="16838"/>
      <w:pgMar w:top="1213" w:right="1800" w:bottom="1213"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418DFC0-C054-406C-9A62-DFEF025617E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EAC85C69-E14E-4A8B-B51D-48CC222C7CA1}"/>
  </w:font>
  <w:font w:name="Droid Sans">
    <w:altName w:val="方正公文小标宋"/>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6FF" w:usb1="420024FF" w:usb2="02000000" w:usb3="00000000" w:csb0="2000019F" w:csb1="00000000"/>
  </w:font>
  <w:font w:name="方正楷体_GB2312">
    <w:panose1 w:val="02000000000000000000"/>
    <w:charset w:val="86"/>
    <w:family w:val="auto"/>
    <w:pitch w:val="default"/>
    <w:sig w:usb0="A00002BF" w:usb1="184F6CFA" w:usb2="00000012" w:usb3="00000000" w:csb0="00040001" w:csb1="00000000"/>
    <w:embedRegular r:id="rId3" w:fontKey="{17609477-F676-446D-BBEC-54969861284F}"/>
  </w:font>
  <w:font w:name="Lucida Sans">
    <w:panose1 w:val="020B0602030504020204"/>
    <w:charset w:val="00"/>
    <w:family w:val="auto"/>
    <w:pitch w:val="default"/>
    <w:sig w:usb0="00000003" w:usb1="00000000" w:usb2="00000000" w:usb3="00000000" w:csb0="20000001" w:csb1="00000000"/>
    <w:embedRegular r:id="rId4" w:fontKey="{F9BB6C78-A506-4033-9848-FEA96A484CD5}"/>
  </w:font>
  <w:font w:name="方正小标宋简体">
    <w:panose1 w:val="03000509000000000000"/>
    <w:charset w:val="86"/>
    <w:family w:val="auto"/>
    <w:pitch w:val="default"/>
    <w:sig w:usb0="00000001" w:usb1="080E0000" w:usb2="00000000" w:usb3="00000000" w:csb0="00040000" w:csb1="00000000"/>
    <w:embedRegular r:id="rId5" w:fontKey="{274073C0-7296-498F-BAD9-8BA255C608E0}"/>
  </w:font>
  <w:font w:name="仿宋_GB2312">
    <w:panose1 w:val="02010609030101010101"/>
    <w:charset w:val="86"/>
    <w:family w:val="modern"/>
    <w:pitch w:val="default"/>
    <w:sig w:usb0="00000001" w:usb1="080E0000" w:usb2="00000000" w:usb3="00000000" w:csb0="00040000" w:csb1="00000000"/>
    <w:embedRegular r:id="rId6" w:fontKey="{20844561-793C-44F6-AC70-D62121895E91}"/>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公文小标宋">
    <w:panose1 w:val="02000500000000000000"/>
    <w:charset w:val="86"/>
    <w:family w:val="auto"/>
    <w:pitch w:val="default"/>
    <w:sig w:usb0="A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pPr>
      <w:pStyle w:val="4"/>
      <w:ind w:right="360" w:firstLine="360"/>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503AE5"/>
    <w:multiLevelType w:val="singleLevel"/>
    <w:tmpl w:val="9C503AE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2NGYyNjI3ODIwNDMyNTU1NmM2NDhiYjViNDI4OGMifQ=="/>
    <w:docVar w:name="KSO_WPS_MARK_KEY" w:val="e00b0910-53bb-4883-acf1-f92afc447b5b"/>
  </w:docVars>
  <w:rsids>
    <w:rsidRoot w:val="25C04B7D"/>
    <w:rsid w:val="01C25044"/>
    <w:rsid w:val="07852DBD"/>
    <w:rsid w:val="1AD015EF"/>
    <w:rsid w:val="21C035CB"/>
    <w:rsid w:val="25C04B7D"/>
    <w:rsid w:val="278D7BBD"/>
    <w:rsid w:val="3939220F"/>
    <w:rsid w:val="40D90920"/>
    <w:rsid w:val="4C2A2E35"/>
    <w:rsid w:val="69781798"/>
    <w:rsid w:val="72E55A25"/>
    <w:rsid w:val="77DF0925"/>
    <w:rsid w:val="7D4A23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Date"/>
    <w:basedOn w:val="1"/>
    <w:next w:val="1"/>
    <w:qFormat/>
    <w:uiPriority w:val="0"/>
    <w:rPr>
      <w:rFonts w:eastAsia="方正楷体_GB2312" w:cs="Lucida Sans"/>
      <w:sz w:val="32"/>
      <w:szCs w:val="20"/>
      <w:lang w:bidi="ar-SA"/>
    </w:rPr>
  </w:style>
  <w:style w:type="paragraph" w:styleId="4">
    <w:name w:val="footer"/>
    <w:basedOn w:val="1"/>
    <w:qFormat/>
    <w:uiPriority w:val="99"/>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1.xml"/><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4" Type="http://schemas.microsoft.com/office/2011/relationships/chartColorStyle" Target="colors2.xml"/><Relationship Id="rId3" Type="http://schemas.microsoft.com/office/2011/relationships/chartStyle" Target="style2.xml"/><Relationship Id="rId2" Type="http://schemas.openxmlformats.org/officeDocument/2006/relationships/themeOverride" Target="../theme/themeOverride2.xml"/><Relationship Id="rId1" Type="http://schemas.openxmlformats.org/officeDocument/2006/relationships/oleObject" Target="&#24037;&#20316;&#31807;2"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forceAA="0"/>
          <a:lstStyle/>
          <a:p>
            <a:pPr>
              <a:defRPr lang="zh-CN" sz="1400" b="0" i="0" u="none" strike="noStrike" kern="1200" spc="0" baseline="0">
                <a:solidFill>
                  <a:srgbClr val="595959">
                    <a:lumMod val="65000"/>
                    <a:lumOff val="35000"/>
                  </a:srgbClr>
                </a:solidFill>
                <a:latin typeface="微软雅黑" panose="020B0503020204020204" charset="-122"/>
                <a:ea typeface="微软雅黑" panose="020B0503020204020204" charset="-122"/>
                <a:cs typeface="+mn-cs"/>
              </a:defRPr>
            </a:pPr>
            <a:r>
              <a:t>收入预算</a:t>
            </a:r>
          </a:p>
        </c:rich>
      </c:tx>
      <c:layout/>
      <c:overlay val="0"/>
      <c:spPr>
        <a:noFill/>
        <a:ln>
          <a:noFill/>
        </a:ln>
        <a:effectLst/>
      </c:spPr>
    </c:title>
    <c:autoTitleDeleted val="0"/>
    <c:plotArea>
      <c:layout>
        <c:manualLayout>
          <c:layoutTarget val="inner"/>
          <c:xMode val="edge"/>
          <c:yMode val="edge"/>
          <c:x val="0.308977682747561"/>
          <c:y val="0.185325602140946"/>
          <c:w val="0.387144193505279"/>
          <c:h val="0.64607493309545"/>
        </c:manualLayout>
      </c:layout>
      <c:pieChart>
        <c:varyColors val="1"/>
        <c:ser>
          <c:idx val="0"/>
          <c:order val="0"/>
          <c:spPr>
            <a:ln w="19050">
              <a:solidFill>
                <a:srgbClr val="FFFFFF"/>
              </a:solidFill>
            </a:ln>
            <a:effectLst>
              <a:outerShdw blurRad="63500" sx="102000" sy="102000" algn="ctr" rotWithShape="0">
                <a:srgbClr val="384C7C">
                  <a:alpha val="18000"/>
                </a:srgbClr>
              </a:outerShdw>
            </a:effectLst>
          </c:spPr>
          <c:explosion val="0"/>
          <c:dLbls>
            <c:numFmt formatCode="General" sourceLinked="1"/>
            <c:spPr>
              <a:noFill/>
              <a:ln>
                <a:noFill/>
              </a:ln>
              <a:effectLst/>
            </c:spPr>
            <c:txPr>
              <a:bodyPr rot="0" spcFirstLastPara="0" vertOverflow="ellipsis" vert="horz" wrap="square" lIns="38100" tIns="19050" rIns="38100" bIns="19050" anchor="ctr" anchorCtr="1" forceAA="0">
                <a:spAutoFit/>
              </a:bodyPr>
              <a:lstStyle/>
              <a:p>
                <a:pPr>
                  <a:defRPr lang="zh-CN" sz="900" b="0" i="0" u="none" strike="noStrike" kern="1200" baseline="0">
                    <a:solidFill>
                      <a:srgbClr val="FFFFFF"/>
                    </a:solidFill>
                    <a:latin typeface="微软雅黑" panose="020B0503020204020204" charset="-122"/>
                    <a:ea typeface="微软雅黑" panose="020B0503020204020204" charset="-122"/>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[工作簿1]Sheet1!$A$1:$A$3</c:f>
              <c:strCache>
                <c:ptCount val="3"/>
                <c:pt idx="0">
                  <c:v>一般公共预算拨款收入</c:v>
                </c:pt>
                <c:pt idx="1">
                  <c:v>其他收入</c:v>
                </c:pt>
                <c:pt idx="2">
                  <c:v>上年结转结余</c:v>
                </c:pt>
              </c:strCache>
            </c:strRef>
          </c:cat>
          <c:val>
            <c:numRef>
              <c:f>[工作簿1]Sheet1!$B$1:$B$3</c:f>
            </c:numRef>
          </c:val>
        </c:ser>
        <c:ser>
          <c:idx val="1"/>
          <c:order val="1"/>
          <c:spPr>
            <a:ln w="19050">
              <a:solidFill>
                <a:srgbClr val="FFFFFF"/>
              </a:solidFill>
            </a:ln>
            <a:effectLst>
              <a:outerShdw blurRad="63500" sx="102000" sy="102000" algn="ctr" rotWithShape="0">
                <a:srgbClr val="384C7C">
                  <a:alpha val="18000"/>
                </a:srgbClr>
              </a:outerShdw>
            </a:effectLst>
          </c:spPr>
          <c:explosion val="0"/>
          <c:dPt>
            <c:idx val="0"/>
            <c:bubble3D val="0"/>
            <c:spPr>
              <a:solidFill>
                <a:srgbClr val="04CD9E"/>
              </a:solidFill>
              <a:ln w="19050">
                <a:solidFill>
                  <a:srgbClr val="FFFFFF"/>
                </a:solidFill>
                <a:miter lim="800000"/>
              </a:ln>
              <a:effectLst>
                <a:outerShdw blurRad="63500" sx="102000" sy="102000" algn="ctr" rotWithShape="0">
                  <a:srgbClr val="384C7C">
                    <a:alpha val="18000"/>
                  </a:srgbClr>
                </a:outerShdw>
              </a:effectLst>
            </c:spPr>
          </c:dPt>
          <c:dPt>
            <c:idx val="1"/>
            <c:bubble3D val="0"/>
            <c:spPr>
              <a:solidFill>
                <a:srgbClr val="80E214"/>
              </a:solidFill>
              <a:ln w="22225">
                <a:solidFill>
                  <a:srgbClr val="FFFFFF"/>
                </a:solidFill>
              </a:ln>
              <a:effectLst>
                <a:outerShdw blurRad="63500" sx="102000" sy="102000" algn="ctr" rotWithShape="0">
                  <a:srgbClr val="384C7C">
                    <a:alpha val="18000"/>
                  </a:srgbClr>
                </a:outerShdw>
              </a:effectLst>
            </c:spPr>
          </c:dPt>
          <c:dPt>
            <c:idx val="2"/>
            <c:bubble3D val="0"/>
            <c:spPr>
              <a:solidFill>
                <a:srgbClr val="119FBE"/>
              </a:solidFill>
              <a:ln w="19050">
                <a:solidFill>
                  <a:srgbClr val="FFFFFF"/>
                </a:solidFill>
              </a:ln>
              <a:effectLst>
                <a:outerShdw blurRad="63500" sx="102000" sy="102000" algn="ctr" rotWithShape="0">
                  <a:srgbClr val="384C7C">
                    <a:alpha val="18000"/>
                  </a:srgbClr>
                </a:outerShdw>
              </a:effectLst>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微软雅黑" panose="020B0503020204020204" charset="-122"/>
                    <a:ea typeface="微软雅黑" panose="020B0503020204020204" charset="-122"/>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[工作簿1]Sheet1!$A$1:$A$3</c:f>
              <c:strCache>
                <c:ptCount val="3"/>
                <c:pt idx="0">
                  <c:v>一般公共预算拨款收入</c:v>
                </c:pt>
                <c:pt idx="1">
                  <c:v>其他收入</c:v>
                </c:pt>
                <c:pt idx="2">
                  <c:v>上年结转结余</c:v>
                </c:pt>
              </c:strCache>
            </c:strRef>
          </c:cat>
          <c:val>
            <c:numRef>
              <c:f>[工作簿1]Sheet1!$C$1:$C$3</c:f>
              <c:numCache>
                <c:formatCode>0.00%</c:formatCode>
                <c:ptCount val="3"/>
                <c:pt idx="0">
                  <c:v>0.317495251574908</c:v>
                </c:pt>
                <c:pt idx="1">
                  <c:v>0.00267890919756193</c:v>
                </c:pt>
                <c:pt idx="2">
                  <c:v>0.67982583922753</c:v>
                </c:pt>
              </c:numCache>
            </c:numRef>
          </c:val>
        </c:ser>
        <c:dLbls>
          <c:showLegendKey val="0"/>
          <c:showVal val="1"/>
          <c:showCatName val="0"/>
          <c:showSerName val="0"/>
          <c:showPercent val="0"/>
          <c:showBubbleSize val="0"/>
          <c:showLeaderLines val="1"/>
        </c:dLbls>
        <c:firstSliceAng val="8"/>
      </c:pieChart>
      <c:spPr>
        <a:noFill/>
        <a:ln>
          <a:noFill/>
        </a:ln>
        <a:effectLst/>
      </c:spPr>
    </c:plotArea>
    <c:legend>
      <c:legendPos val="b"/>
      <c:layout/>
      <c:overlay val="0"/>
      <c:spPr>
        <a:noFill/>
        <a:ln>
          <a:noFill/>
        </a:ln>
        <a:effectLst/>
      </c:spPr>
      <c:txPr>
        <a:bodyPr rot="0" spcFirstLastPara="0" vertOverflow="ellipsis" vert="horz" wrap="square" anchor="ctr" anchorCtr="1" forceAA="0"/>
        <a:lstStyle/>
        <a:p>
          <a:pPr>
            <a:defRPr lang="zh-CN" sz="900" b="0" i="0" u="none" strike="noStrike" kern="1200" baseline="0">
              <a:solidFill>
                <a:srgbClr val="595959">
                  <a:lumMod val="65000"/>
                  <a:lumOff val="35000"/>
                </a:srgbClr>
              </a:solidFill>
              <a:latin typeface="微软雅黑" panose="020B0503020204020204" charset="-122"/>
              <a:ea typeface="微软雅黑" panose="020B0503020204020204" charset="-122"/>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a:outerShdw blurRad="63500" dist="37357" dir="2700000" sx="0" sy="0" rotWithShape="0">
        <a:scrgbClr r="0" g="0" b="0"/>
      </a:outerShdw>
    </a:effectLst>
  </c:spPr>
  <c:txPr>
    <a:bodyPr/>
    <a:lstStyle/>
    <a:p>
      <a:pPr>
        <a:defRPr lang="zh-CN">
          <a:latin typeface="微软雅黑" panose="020B0503020204020204" charset="-122"/>
          <a:ea typeface="微软雅黑" panose="020B0503020204020204" charset="-122"/>
        </a:defRPr>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forceAA="0"/>
          <a:lstStyle/>
          <a:p>
            <a:pPr>
              <a:defRPr lang="zh-CN" sz="1400" b="0" i="0" u="none" strike="noStrike" kern="1200" spc="0" baseline="0">
                <a:solidFill>
                  <a:srgbClr val="595959">
                    <a:lumMod val="65000"/>
                    <a:lumOff val="35000"/>
                  </a:srgbClr>
                </a:solidFill>
                <a:latin typeface="微软雅黑" panose="020B0503020204020204" charset="-122"/>
                <a:ea typeface="微软雅黑" panose="020B0503020204020204" charset="-122"/>
                <a:cs typeface="+mn-cs"/>
              </a:defRPr>
            </a:pPr>
            <a:r>
              <a:t>基本支出和项目支出</a:t>
            </a:r>
          </a:p>
        </c:rich>
      </c:tx>
      <c:layout/>
      <c:overlay val="0"/>
      <c:spPr>
        <a:noFill/>
        <a:ln>
          <a:noFill/>
        </a:ln>
        <a:effectLst/>
      </c:spPr>
    </c:title>
    <c:autoTitleDeleted val="0"/>
    <c:plotArea>
      <c:layout>
        <c:manualLayout>
          <c:layoutTarget val="inner"/>
          <c:xMode val="edge"/>
          <c:yMode val="edge"/>
          <c:x val="0.308977682747561"/>
          <c:y val="0.185325602140946"/>
          <c:w val="0.387144193505279"/>
          <c:h val="0.64607493309545"/>
        </c:manualLayout>
      </c:layout>
      <c:pieChart>
        <c:varyColors val="1"/>
        <c:ser>
          <c:idx val="0"/>
          <c:order val="0"/>
          <c:spPr>
            <a:ln w="19050">
              <a:solidFill>
                <a:srgbClr val="FFFFFF"/>
              </a:solidFill>
            </a:ln>
            <a:effectLst>
              <a:outerShdw blurRad="63500" sx="102000" sy="102000" algn="ctr" rotWithShape="0">
                <a:srgbClr val="384C7C">
                  <a:alpha val="18000"/>
                </a:srgbClr>
              </a:outerShdw>
            </a:effectLst>
          </c:spPr>
          <c:explosion val="0"/>
          <c:dPt>
            <c:idx val="0"/>
            <c:bubble3D val="0"/>
            <c:spPr>
              <a:solidFill>
                <a:srgbClr val="04CD9E"/>
              </a:solidFill>
              <a:ln w="19050">
                <a:solidFill>
                  <a:srgbClr val="FFFFFF"/>
                </a:solidFill>
                <a:miter lim="800000"/>
              </a:ln>
              <a:effectLst>
                <a:outerShdw blurRad="63500" sx="102000" sy="102000" algn="ctr" rotWithShape="0">
                  <a:srgbClr val="384C7C">
                    <a:alpha val="18000"/>
                  </a:srgbClr>
                </a:outerShdw>
              </a:effectLst>
            </c:spPr>
          </c:dPt>
          <c:dPt>
            <c:idx val="1"/>
            <c:bubble3D val="0"/>
            <c:spPr>
              <a:solidFill>
                <a:srgbClr val="80E214"/>
              </a:solidFill>
              <a:ln w="22225">
                <a:solidFill>
                  <a:srgbClr val="FFFFFF"/>
                </a:solidFill>
              </a:ln>
              <a:effectLst>
                <a:outerShdw blurRad="63500" sx="102000" sy="102000" algn="ctr" rotWithShape="0">
                  <a:srgbClr val="384C7C">
                    <a:alpha val="18000"/>
                  </a:srgbClr>
                </a:outerShdw>
              </a:effectLst>
            </c:spPr>
          </c:dPt>
          <c:dLbls>
            <c:numFmt formatCode="General" sourceLinked="1"/>
            <c:spPr>
              <a:noFill/>
              <a:ln>
                <a:noFill/>
              </a:ln>
              <a:effectLst/>
            </c:spPr>
            <c:txPr>
              <a:bodyPr rot="0" spcFirstLastPara="0" vertOverflow="ellipsis" vert="horz" wrap="square" lIns="38100" tIns="19050" rIns="38100" bIns="19050" anchor="ctr" anchorCtr="1" forceAA="0">
                <a:spAutoFit/>
              </a:bodyPr>
              <a:lstStyle/>
              <a:p>
                <a:pPr>
                  <a:defRPr lang="zh-CN" sz="900" b="0" i="0" u="none" strike="noStrike" kern="1200" baseline="0">
                    <a:solidFill>
                      <a:srgbClr val="FFFFFF"/>
                    </a:solidFill>
                    <a:latin typeface="微软雅黑" panose="020B0503020204020204" charset="-122"/>
                    <a:ea typeface="微软雅黑" panose="020B0503020204020204" charset="-122"/>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[工作簿2]Sheet1!$A$1:$A$2</c:f>
              <c:strCache>
                <c:ptCount val="2"/>
                <c:pt idx="0">
                  <c:v>基本经费</c:v>
                </c:pt>
                <c:pt idx="1">
                  <c:v>项目经费</c:v>
                </c:pt>
              </c:strCache>
            </c:strRef>
          </c:cat>
          <c:val>
            <c:numRef>
              <c:f>[工作簿2]Sheet1!$B$1:$B$2</c:f>
              <c:numCache>
                <c:formatCode>0.00%</c:formatCode>
                <c:ptCount val="2"/>
                <c:pt idx="0">
                  <c:v>0.273867292827997</c:v>
                </c:pt>
                <c:pt idx="1">
                  <c:v>0.726132707172003</c:v>
                </c:pt>
              </c:numCache>
            </c:numRef>
          </c:val>
        </c:ser>
        <c:dLbls>
          <c:showLegendKey val="0"/>
          <c:showVal val="1"/>
          <c:showCatName val="0"/>
          <c:showSerName val="0"/>
          <c:showPercent val="0"/>
          <c:showBubbleSize val="0"/>
          <c:showLeaderLines val="1"/>
        </c:dLbls>
        <c:firstSliceAng val="8"/>
      </c:pieChart>
      <c:spPr>
        <a:noFill/>
        <a:ln>
          <a:noFill/>
        </a:ln>
        <a:effectLst/>
      </c:spPr>
    </c:plotArea>
    <c:legend>
      <c:legendPos val="b"/>
      <c:layout/>
      <c:overlay val="0"/>
      <c:spPr>
        <a:noFill/>
        <a:ln>
          <a:noFill/>
        </a:ln>
        <a:effectLst/>
      </c:spPr>
      <c:txPr>
        <a:bodyPr rot="0" spcFirstLastPara="0" vertOverflow="ellipsis" vert="horz" wrap="square" anchor="ctr" anchorCtr="1" forceAA="0"/>
        <a:lstStyle/>
        <a:p>
          <a:pPr>
            <a:defRPr lang="zh-CN" sz="900" b="0" i="0" u="none" strike="noStrike" kern="1200" baseline="0">
              <a:solidFill>
                <a:srgbClr val="595959">
                  <a:lumMod val="65000"/>
                  <a:lumOff val="35000"/>
                </a:srgbClr>
              </a:solidFill>
              <a:latin typeface="微软雅黑" panose="020B0503020204020204" charset="-122"/>
              <a:ea typeface="微软雅黑" panose="020B0503020204020204" charset="-122"/>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a:outerShdw blurRad="63500" dist="37357" dir="2700000" sx="0" sy="0" rotWithShape="0">
        <a:scrgbClr r="0" g="0" b="0"/>
      </a:outerShdw>
    </a:effectLst>
  </c:spPr>
  <c:txPr>
    <a:bodyPr/>
    <a:lstStyle/>
    <a:p>
      <a:pPr>
        <a:defRPr lang="zh-CN">
          <a:latin typeface="微软雅黑" panose="020B0503020204020204" charset="-122"/>
          <a:ea typeface="微软雅黑" panose="020B0503020204020204" charset="-122"/>
        </a:defRPr>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Gothic"/>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rgbClr val="FFFFFF"/>
      </a:solidFill>
      <a:gradFill rotWithShape="1">
        <a:gsLst>
          <a:gs pos="0">
            <a:srgbClr val="FFFFFF">
              <a:lumMod val="110000"/>
              <a:satMod val="105000"/>
              <a:tint val="67000"/>
            </a:srgbClr>
          </a:gs>
          <a:gs pos="50000">
            <a:srgbClr val="FFFFFF">
              <a:lumMod val="105000"/>
              <a:satMod val="103000"/>
              <a:tint val="73000"/>
            </a:srgbClr>
          </a:gs>
          <a:gs pos="100000">
            <a:srgbClr val="FFFFFF">
              <a:lumMod val="105000"/>
              <a:satMod val="109000"/>
              <a:tint val="81000"/>
            </a:srgbClr>
          </a:gs>
        </a:gsLst>
        <a:lin ang="5400000" scaled="0"/>
      </a:gradFill>
      <a:gradFill rotWithShape="1">
        <a:gsLst>
          <a:gs pos="0">
            <a:srgbClr val="FFFFFF">
              <a:satMod val="103000"/>
              <a:lumMod val="102000"/>
              <a:tint val="94000"/>
            </a:srgbClr>
          </a:gs>
          <a:gs pos="50000">
            <a:srgbClr val="FFFFFF">
              <a:satMod val="110000"/>
              <a:lumMod val="100000"/>
              <a:shade val="100000"/>
            </a:srgbClr>
          </a:gs>
          <a:gs pos="100000">
            <a:srgbClr val="E2E2E2">
              <a:lumMod val="99000"/>
              <a:satMod val="120000"/>
              <a:shade val="78000"/>
            </a:srgbClr>
          </a:gs>
        </a:gsLst>
        <a:lin ang="5400000" scaled="0"/>
      </a:gradFill>
    </a:fillStyleLst>
    <a:lnStyleLst>
      <a:ln w="6350" cap="flat" cmpd="sng" algn="ctr">
        <a:solidFill>
          <a:srgbClr val="FFFFFF"/>
        </a:solidFill>
        <a:prstDash val="solid"/>
        <a:miter lim="800000"/>
      </a:ln>
      <a:ln w="12700" cap="flat" cmpd="sng" algn="ctr">
        <a:solidFill>
          <a:srgbClr val="FFFFFF"/>
        </a:solidFill>
        <a:prstDash val="solid"/>
        <a:miter lim="800000"/>
      </a:ln>
      <a:ln w="19050" cap="flat" cmpd="sng" algn="ctr">
        <a:solidFill>
          <a:srgbClr val="FFFFFF"/>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rgbClr val="FFFFFF"/>
      </a:solidFill>
      <a:solidFill>
        <a:srgbClr val="FFFFFF">
          <a:tint val="95000"/>
          <a:satMod val="170000"/>
        </a:srgbClr>
      </a:solidFill>
      <a:gradFill rotWithShape="1">
        <a:gsLst>
          <a:gs pos="0">
            <a:srgbClr val="FFFFFF">
              <a:tint val="93000"/>
              <a:satMod val="150000"/>
              <a:shade val="98000"/>
              <a:lumMod val="102000"/>
            </a:srgbClr>
          </a:gs>
          <a:gs pos="50000">
            <a:srgbClr val="FBFBFB">
              <a:tint val="98000"/>
              <a:satMod val="130000"/>
              <a:shade val="90000"/>
              <a:lumMod val="103000"/>
            </a:srgbClr>
          </a:gs>
          <a:gs pos="100000">
            <a:srgbClr val="D0D0D0">
              <a:shade val="63000"/>
              <a:satMod val="120000"/>
            </a:srgb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Gothic"/>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rgbClr val="FFFFFF"/>
      </a:solidFill>
      <a:gradFill rotWithShape="1">
        <a:gsLst>
          <a:gs pos="0">
            <a:srgbClr val="FFFFFF">
              <a:lumMod val="110000"/>
              <a:satMod val="105000"/>
              <a:tint val="67000"/>
            </a:srgbClr>
          </a:gs>
          <a:gs pos="50000">
            <a:srgbClr val="FFFFFF">
              <a:lumMod val="105000"/>
              <a:satMod val="103000"/>
              <a:tint val="73000"/>
            </a:srgbClr>
          </a:gs>
          <a:gs pos="100000">
            <a:srgbClr val="FFFFFF">
              <a:lumMod val="105000"/>
              <a:satMod val="109000"/>
              <a:tint val="81000"/>
            </a:srgbClr>
          </a:gs>
        </a:gsLst>
        <a:lin ang="5400000" scaled="0"/>
      </a:gradFill>
      <a:gradFill rotWithShape="1">
        <a:gsLst>
          <a:gs pos="0">
            <a:srgbClr val="FFFFFF">
              <a:satMod val="103000"/>
              <a:lumMod val="102000"/>
              <a:tint val="94000"/>
            </a:srgbClr>
          </a:gs>
          <a:gs pos="50000">
            <a:srgbClr val="FFFFFF">
              <a:satMod val="110000"/>
              <a:lumMod val="100000"/>
              <a:shade val="100000"/>
            </a:srgbClr>
          </a:gs>
          <a:gs pos="100000">
            <a:srgbClr val="E2E2E2">
              <a:lumMod val="99000"/>
              <a:satMod val="120000"/>
              <a:shade val="78000"/>
            </a:srgbClr>
          </a:gs>
        </a:gsLst>
        <a:lin ang="5400000" scaled="0"/>
      </a:gradFill>
    </a:fillStyleLst>
    <a:lnStyleLst>
      <a:ln w="6350" cap="flat" cmpd="sng" algn="ctr">
        <a:solidFill>
          <a:srgbClr val="FFFFFF"/>
        </a:solidFill>
        <a:prstDash val="solid"/>
        <a:miter lim="800000"/>
      </a:ln>
      <a:ln w="12700" cap="flat" cmpd="sng" algn="ctr">
        <a:solidFill>
          <a:srgbClr val="FFFFFF"/>
        </a:solidFill>
        <a:prstDash val="solid"/>
        <a:miter lim="800000"/>
      </a:ln>
      <a:ln w="19050" cap="flat" cmpd="sng" algn="ctr">
        <a:solidFill>
          <a:srgbClr val="FFFFFF"/>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rgbClr val="FFFFFF"/>
      </a:solidFill>
      <a:solidFill>
        <a:srgbClr val="FFFFFF">
          <a:tint val="95000"/>
          <a:satMod val="170000"/>
        </a:srgbClr>
      </a:solidFill>
      <a:gradFill rotWithShape="1">
        <a:gsLst>
          <a:gs pos="0">
            <a:srgbClr val="FFFFFF">
              <a:tint val="93000"/>
              <a:satMod val="150000"/>
              <a:shade val="98000"/>
              <a:lumMod val="102000"/>
            </a:srgbClr>
          </a:gs>
          <a:gs pos="50000">
            <a:srgbClr val="FBFBFB">
              <a:tint val="98000"/>
              <a:satMod val="130000"/>
              <a:shade val="90000"/>
              <a:lumMod val="103000"/>
            </a:srgbClr>
          </a:gs>
          <a:gs pos="100000">
            <a:srgbClr val="D0D0D0">
              <a:shade val="63000"/>
              <a:satMod val="120000"/>
            </a:srgb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2566</Words>
  <Characters>2892</Characters>
  <Lines>0</Lines>
  <Paragraphs>0</Paragraphs>
  <TotalTime>27</TotalTime>
  <ScaleCrop>false</ScaleCrop>
  <LinksUpToDate>false</LinksUpToDate>
  <CharactersWithSpaces>2921</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2023-02-22T01:35:00Z</dcterms:created>
  <dc:creator>杨涛</dc:creator>
  <cp:lastModifiedBy>杨涛</cp:lastModifiedBy>
  <dcterms:modified xsi:type="dcterms:W3CDTF">2023-02-27T07:30:40Z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B427352683E94B4DBA2F73640E90A5B9</vt:lpwstr>
  </property>
</Properties>
</file>