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北京奥运博物馆202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七、一般公共预算财政拨款基本支出表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十三、项目支出绩效目标申报表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spacing w:line="560" w:lineRule="exact"/>
        <w:jc w:val="center"/>
        <w:rPr>
          <w:rFonts w:ascii="仿宋_GB2312" w:eastAsia="仿宋_GB2312"/>
          <w:color w:val="000000"/>
          <w:sz w:val="32"/>
          <w:szCs w:val="32"/>
        </w:rPr>
      </w:pPr>
      <w:r>
        <w:rPr>
          <w:rFonts w:hint="eastAsia" w:ascii="方正小标宋简体" w:eastAsia="方正小标宋简体"/>
          <w:color w:val="000000"/>
          <w:sz w:val="36"/>
          <w:szCs w:val="36"/>
        </w:rPr>
        <w:t>第一部分  2021年北京奥运博物馆预算情况说明</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_GB2312" w:hAnsi="Calibri" w:eastAsia="仿宋_GB2312"/>
          <w:sz w:val="32"/>
          <w:szCs w:val="32"/>
        </w:rPr>
        <w:t>北京奥运博物馆机构设置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w:t>
      </w:r>
      <w:r>
        <w:rPr>
          <w:rFonts w:ascii="仿宋_GB2312" w:eastAsia="仿宋_GB2312"/>
          <w:color w:val="000000"/>
          <w:sz w:val="32"/>
          <w:szCs w:val="32"/>
        </w:rPr>
        <w:t>奥运博物馆</w:t>
      </w:r>
      <w:r>
        <w:rPr>
          <w:rFonts w:hint="eastAsia" w:ascii="仿宋_GB2312" w:eastAsia="仿宋_GB2312"/>
          <w:color w:val="000000"/>
          <w:sz w:val="32"/>
          <w:szCs w:val="32"/>
        </w:rPr>
        <w:t>为正处级公益一类事业单位，内设6个部门，分别为行政办公室(含人事党务部）、保卫部、信息资料研究中心（含征集部）、陈列策划部、开放社教部、保管部。</w:t>
      </w:r>
    </w:p>
    <w:p>
      <w:pPr>
        <w:ind w:firstLine="640" w:firstLineChars="200"/>
        <w:rPr>
          <w:rFonts w:ascii="仿宋_GB2312" w:hAnsi="Calibri" w:eastAsia="仿宋_GB2312"/>
          <w:sz w:val="32"/>
          <w:szCs w:val="32"/>
        </w:rPr>
      </w:pPr>
      <w:r>
        <w:rPr>
          <w:rFonts w:hint="eastAsia" w:ascii="仿宋_GB2312" w:hAnsi="Calibri" w:eastAsia="仿宋_GB2312"/>
          <w:sz w:val="32"/>
          <w:szCs w:val="32"/>
        </w:rPr>
        <w:t>上级业务主管部门为北京市文物局。</w:t>
      </w:r>
    </w:p>
    <w:p>
      <w:pPr>
        <w:ind w:firstLine="640" w:firstLineChars="200"/>
        <w:rPr>
          <w:rFonts w:ascii="仿宋_GB2312" w:hAnsi="Calibri" w:eastAsia="仿宋_GB2312"/>
          <w:sz w:val="32"/>
          <w:szCs w:val="32"/>
        </w:rPr>
      </w:pPr>
      <w:r>
        <w:rPr>
          <w:rFonts w:hint="eastAsia" w:ascii="仿宋_GB2312" w:hAnsi="Calibri" w:eastAsia="仿宋_GB2312"/>
          <w:sz w:val="32"/>
          <w:szCs w:val="32"/>
        </w:rPr>
        <w:t>2.北京奥运博物馆主要职能</w:t>
      </w:r>
    </w:p>
    <w:p>
      <w:pPr>
        <w:ind w:firstLine="640" w:firstLineChars="200"/>
        <w:rPr>
          <w:rFonts w:ascii="仿宋_GB2312" w:hAnsi="Calibri" w:eastAsia="仿宋_GB2312"/>
          <w:sz w:val="32"/>
          <w:szCs w:val="32"/>
        </w:rPr>
      </w:pPr>
      <w:r>
        <w:rPr>
          <w:rFonts w:hint="eastAsia" w:ascii="仿宋_GB2312" w:hAnsi="Calibri" w:eastAsia="仿宋_GB2312"/>
          <w:sz w:val="32"/>
          <w:szCs w:val="32"/>
        </w:rPr>
        <w:t>承担奥运文物征集、保管、研究和爱国主义教育及博物馆运行管理工作。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（二）人员构成情况</w:t>
      </w:r>
    </w:p>
    <w:p>
      <w:pPr>
        <w:ind w:firstLine="420" w:firstLineChars="200"/>
        <w:rPr>
          <w:rFonts w:ascii="仿宋_GB2312" w:hAnsi="Calibri" w:eastAsia="仿宋_GB2312"/>
          <w:sz w:val="32"/>
          <w:szCs w:val="32"/>
        </w:rPr>
      </w:pPr>
      <w:r>
        <w:rPr>
          <w:rFonts w:hint="eastAsia"/>
        </w:rPr>
        <w:t xml:space="preserve"> </w:t>
      </w:r>
      <w:r>
        <w:rPr>
          <w:rFonts w:hint="eastAsia" w:ascii="仿宋_GB2312" w:hAnsi="Calibri" w:eastAsia="仿宋_GB2312"/>
          <w:sz w:val="32"/>
          <w:szCs w:val="32"/>
        </w:rPr>
        <w:t>北京奥运博物馆单位事业编制66人，实际53人；聘用人员0人。离退休人员0人，其中：离休0人，退休0人。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560" w:lineRule="exact"/>
        <w:ind w:firstLine="640" w:firstLineChars="200"/>
      </w:pPr>
      <w:r>
        <w:rPr>
          <w:rFonts w:hint="eastAsia" w:ascii="仿宋_GB2312" w:eastAsia="仿宋_GB2312"/>
          <w:color w:val="000000"/>
          <w:sz w:val="32"/>
          <w:szCs w:val="32"/>
        </w:rPr>
        <w:t>（一）收入预算说明</w:t>
      </w:r>
      <w:r>
        <w:rPr>
          <w:rFonts w:hint="eastAsia" w:ascii="仿宋_GB2312" w:eastAsia="仿宋_GB2312"/>
          <w:color w:val="000000"/>
          <w:sz w:val="32"/>
          <w:szCs w:val="32"/>
        </w:rPr>
        <w:tab/>
      </w:r>
    </w:p>
    <w:p>
      <w:pPr>
        <w:spacing w:line="560" w:lineRule="exact"/>
        <w:ind w:firstLine="640" w:firstLineChars="200"/>
        <w:rPr>
          <w:rFonts w:hint="eastAsia" w:ascii="仿宋_GB2312" w:eastAsia="仿宋_GB2312"/>
          <w:color w:val="000000"/>
          <w:sz w:val="32"/>
          <w:szCs w:val="32"/>
          <w:lang w:eastAsia="zh-CN"/>
        </w:rPr>
      </w:pPr>
      <w:r>
        <w:rPr>
          <w:rFonts w:hint="eastAsia" w:ascii="仿宋_GB2312" w:hAnsi="Calibri" w:eastAsia="仿宋_GB2312"/>
          <w:sz w:val="32"/>
          <w:szCs w:val="32"/>
        </w:rPr>
        <w:t>2021年收入预算8814.81万元，比2020年8574.08万元增加240.73万元，增长2.81%。其中：财政拨款8775.88万元,比2020年8561.24万元增加214.64万元；主要原因是落实调整机关事业单位工作人员工资标准有关政策，人员经费有所增加。</w:t>
      </w:r>
      <w:r>
        <w:rPr>
          <w:rFonts w:hint="eastAsia" w:ascii="仿宋_GB2312" w:hAnsi="Calibri" w:eastAsia="仿宋_GB2312"/>
          <w:sz w:val="32"/>
          <w:szCs w:val="32"/>
          <w:lang w:eastAsia="zh-CN"/>
        </w:rPr>
        <w:t>继续</w:t>
      </w:r>
      <w:r>
        <w:rPr>
          <w:rFonts w:hint="eastAsia" w:ascii="仿宋_GB2312" w:hAnsi="Calibri" w:eastAsia="仿宋_GB2312"/>
          <w:sz w:val="32"/>
          <w:szCs w:val="32"/>
        </w:rPr>
        <w:t>使用财政性结转资金38.93万元</w:t>
      </w:r>
      <w:r>
        <w:rPr>
          <w:rFonts w:hint="eastAsia" w:ascii="仿宋_GB2312" w:hAnsi="Calibri" w:eastAsia="仿宋_GB2312"/>
          <w:sz w:val="32"/>
          <w:szCs w:val="32"/>
          <w:lang w:eastAsia="zh-CN"/>
        </w:rPr>
        <w:t>。</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支出预算说明</w:t>
      </w:r>
    </w:p>
    <w:p>
      <w:pPr>
        <w:numPr>
          <w:ilvl w:val="0"/>
          <w:numId w:val="2"/>
        </w:numPr>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基本支出预算4350.72万元，占总支出预算49.36%，比2020年4163.16万元增加187.56万元，增长4.51%。原因：落实调整机关事业单位工作人员工资标准有关政策，人员经费有所增加。</w:t>
      </w:r>
    </w:p>
    <w:p>
      <w:pPr>
        <w:numPr>
          <w:ilvl w:val="0"/>
          <w:numId w:val="2"/>
        </w:numPr>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项目支出预算4464.08万元，比2020年4410.92万元增加了53.16万元，增加1.21%。原因：为</w:t>
      </w:r>
      <w:r>
        <w:rPr>
          <w:rFonts w:hint="eastAsia" w:ascii="仿宋_GB2312" w:eastAsia="仿宋_GB2312"/>
          <w:color w:val="000000"/>
          <w:sz w:val="32"/>
          <w:szCs w:val="32"/>
        </w:rPr>
        <w:t>保障博物馆正常运行，设备维修项目经费有所增加。</w:t>
      </w:r>
    </w:p>
    <w:p>
      <w:pPr>
        <w:numPr>
          <w:ilvl w:val="0"/>
          <w:numId w:val="3"/>
        </w:num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主要支出情况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2021年北京奥运博物馆项目支出方向如下：保障网络及信息化基础设备正常运转</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确保全馆设备设施正常运行</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做好信息化</w:t>
      </w:r>
      <w:r>
        <w:rPr>
          <w:rFonts w:ascii="仿宋_GB2312" w:eastAsia="仿宋_GB2312"/>
          <w:color w:val="000000"/>
          <w:sz w:val="32"/>
          <w:szCs w:val="32"/>
        </w:rPr>
        <w:t>运维</w:t>
      </w:r>
      <w:r>
        <w:rPr>
          <w:rFonts w:hint="eastAsia" w:ascii="仿宋_GB2312" w:eastAsia="仿宋_GB2312"/>
          <w:color w:val="000000"/>
          <w:sz w:val="32"/>
          <w:szCs w:val="32"/>
          <w:lang w:val="en-US" w:eastAsia="zh-CN"/>
        </w:rPr>
        <w:t>,</w:t>
      </w:r>
      <w:r>
        <w:rPr>
          <w:rFonts w:ascii="仿宋_GB2312" w:eastAsia="仿宋_GB2312"/>
          <w:color w:val="000000"/>
          <w:sz w:val="32"/>
          <w:szCs w:val="32"/>
        </w:rPr>
        <w:t>展项设备</w:t>
      </w:r>
      <w:r>
        <w:rPr>
          <w:rFonts w:hint="eastAsia" w:ascii="仿宋_GB2312" w:eastAsia="仿宋_GB2312"/>
          <w:color w:val="000000"/>
          <w:sz w:val="32"/>
          <w:szCs w:val="32"/>
        </w:rPr>
        <w:t>设施</w:t>
      </w:r>
      <w:r>
        <w:rPr>
          <w:rFonts w:ascii="仿宋_GB2312" w:eastAsia="仿宋_GB2312"/>
          <w:color w:val="000000"/>
          <w:sz w:val="32"/>
          <w:szCs w:val="32"/>
        </w:rPr>
        <w:t>专业外包</w:t>
      </w:r>
      <w:r>
        <w:rPr>
          <w:rFonts w:hint="eastAsia" w:ascii="仿宋_GB2312" w:eastAsia="仿宋_GB2312"/>
          <w:color w:val="000000"/>
          <w:sz w:val="32"/>
          <w:szCs w:val="32"/>
          <w:lang w:val="en-US" w:eastAsia="zh-CN"/>
        </w:rPr>
        <w:t>,</w:t>
      </w:r>
      <w:r>
        <w:rPr>
          <w:rFonts w:ascii="仿宋_GB2312" w:eastAsia="仿宋_GB2312"/>
          <w:color w:val="000000"/>
          <w:sz w:val="32"/>
          <w:szCs w:val="32"/>
        </w:rPr>
        <w:t>污水泵、雨水泵</w:t>
      </w:r>
      <w:r>
        <w:rPr>
          <w:rFonts w:hint="eastAsia" w:ascii="仿宋_GB2312" w:eastAsia="仿宋_GB2312"/>
          <w:color w:val="000000"/>
          <w:sz w:val="32"/>
          <w:szCs w:val="32"/>
        </w:rPr>
        <w:t>更新</w:t>
      </w:r>
      <w:r>
        <w:rPr>
          <w:rFonts w:ascii="仿宋_GB2312" w:eastAsia="仿宋_GB2312"/>
          <w:color w:val="000000"/>
          <w:sz w:val="32"/>
          <w:szCs w:val="32"/>
        </w:rPr>
        <w:t>换代项目，保证博物馆的基本运转。</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针对上述支出方向，我单位预算项目支出主要安排：</w:t>
      </w:r>
    </w:p>
    <w:p>
      <w:pPr>
        <w:numPr>
          <w:ilvl w:val="0"/>
          <w:numId w:val="4"/>
        </w:numPr>
        <w:spacing w:line="560" w:lineRule="exact"/>
        <w:ind w:firstLine="640" w:firstLineChars="200"/>
        <w:rPr>
          <w:rFonts w:ascii="仿宋_GB2312" w:eastAsia="仿宋_GB2312"/>
          <w:sz w:val="32"/>
          <w:szCs w:val="32"/>
        </w:rPr>
      </w:pPr>
      <w:r>
        <w:rPr>
          <w:rFonts w:hint="eastAsia" w:ascii="仿宋_GB2312" w:eastAsia="仿宋_GB2312"/>
          <w:sz w:val="32"/>
          <w:szCs w:val="32"/>
        </w:rPr>
        <w:t>租赁费及相关费用（国家体育场、办公用房及库房）-租赁费3707.34万元；</w:t>
      </w:r>
    </w:p>
    <w:p>
      <w:pPr>
        <w:numPr>
          <w:ilvl w:val="0"/>
          <w:numId w:val="4"/>
        </w:numPr>
        <w:spacing w:line="560" w:lineRule="exact"/>
        <w:ind w:firstLine="640" w:firstLineChars="200"/>
        <w:rPr>
          <w:rFonts w:ascii="仿宋_GB2312" w:eastAsia="仿宋_GB2312"/>
          <w:sz w:val="32"/>
          <w:szCs w:val="32"/>
        </w:rPr>
      </w:pPr>
      <w:r>
        <w:rPr>
          <w:rFonts w:hint="eastAsia" w:ascii="仿宋_GB2312" w:eastAsia="仿宋_GB2312"/>
          <w:sz w:val="32"/>
          <w:szCs w:val="32"/>
        </w:rPr>
        <w:t>租赁费及相关费用（国家体育场、办公用房及库房）-取暖费290万元；</w:t>
      </w:r>
    </w:p>
    <w:p>
      <w:pPr>
        <w:numPr>
          <w:ilvl w:val="0"/>
          <w:numId w:val="4"/>
        </w:numPr>
        <w:spacing w:line="560" w:lineRule="exact"/>
        <w:ind w:firstLine="640" w:firstLineChars="200"/>
        <w:rPr>
          <w:rFonts w:ascii="仿宋_GB2312" w:eastAsia="仿宋_GB2312"/>
          <w:sz w:val="32"/>
          <w:szCs w:val="32"/>
        </w:rPr>
      </w:pPr>
      <w:r>
        <w:rPr>
          <w:rFonts w:ascii="仿宋_GB2312" w:eastAsia="仿宋_GB2312"/>
          <w:sz w:val="32"/>
          <w:szCs w:val="32"/>
        </w:rPr>
        <w:t>信息化运维费138.5</w:t>
      </w:r>
      <w:r>
        <w:rPr>
          <w:rFonts w:hint="eastAsia" w:ascii="仿宋_GB2312" w:eastAsia="仿宋_GB2312"/>
          <w:sz w:val="32"/>
          <w:szCs w:val="32"/>
        </w:rPr>
        <w:t>6万元；</w:t>
      </w:r>
    </w:p>
    <w:p>
      <w:pPr>
        <w:numPr>
          <w:ilvl w:val="0"/>
          <w:numId w:val="4"/>
        </w:numPr>
        <w:spacing w:line="560" w:lineRule="exact"/>
        <w:ind w:firstLine="640" w:firstLineChars="200"/>
        <w:rPr>
          <w:rFonts w:ascii="仿宋_GB2312" w:eastAsia="仿宋_GB2312"/>
          <w:sz w:val="32"/>
          <w:szCs w:val="32"/>
        </w:rPr>
      </w:pPr>
      <w:r>
        <w:rPr>
          <w:rFonts w:ascii="仿宋_GB2312" w:eastAsia="仿宋_GB2312"/>
          <w:sz w:val="32"/>
          <w:szCs w:val="32"/>
        </w:rPr>
        <w:t>北京奥运博物馆展项设备设施专业外包服务项目195.58</w:t>
      </w:r>
      <w:r>
        <w:rPr>
          <w:rFonts w:hint="eastAsia" w:ascii="仿宋_GB2312" w:eastAsia="仿宋_GB2312"/>
          <w:sz w:val="32"/>
          <w:szCs w:val="32"/>
        </w:rPr>
        <w:t>万元；</w:t>
      </w:r>
    </w:p>
    <w:p>
      <w:pPr>
        <w:numPr>
          <w:ilvl w:val="0"/>
          <w:numId w:val="4"/>
        </w:numPr>
        <w:spacing w:line="560" w:lineRule="exact"/>
        <w:ind w:firstLine="640" w:firstLineChars="200"/>
        <w:rPr>
          <w:rFonts w:ascii="仿宋_GB2312" w:eastAsia="仿宋_GB2312"/>
          <w:sz w:val="32"/>
          <w:szCs w:val="32"/>
        </w:rPr>
      </w:pPr>
      <w:r>
        <w:rPr>
          <w:rFonts w:ascii="仿宋_GB2312" w:eastAsia="仿宋_GB2312"/>
          <w:sz w:val="32"/>
          <w:szCs w:val="32"/>
        </w:rPr>
        <w:t>污水泵、雨水泵更新换代工程93.6</w:t>
      </w:r>
      <w:r>
        <w:rPr>
          <w:rFonts w:hint="eastAsia" w:ascii="仿宋_GB2312" w:eastAsia="仿宋_GB2312"/>
          <w:sz w:val="32"/>
          <w:szCs w:val="32"/>
        </w:rPr>
        <w:t>8万元。</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2021年“三公”经费财政拨款预算2.47万元。其中：</w:t>
      </w:r>
    </w:p>
    <w:p>
      <w:pPr>
        <w:numPr>
          <w:ilvl w:val="0"/>
          <w:numId w:val="5"/>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因公出国（境）费用。2021年预算数0万元，本单位未安排因公出国（境）活动。</w:t>
      </w:r>
    </w:p>
    <w:p>
      <w:pPr>
        <w:numPr>
          <w:ilvl w:val="0"/>
          <w:numId w:val="5"/>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公务接待费。2021年预算数0万元，本单位未安排公务接待活动。</w:t>
      </w:r>
    </w:p>
    <w:p>
      <w:pPr>
        <w:numPr>
          <w:ilvl w:val="0"/>
          <w:numId w:val="5"/>
        </w:numPr>
        <w:spacing w:line="560" w:lineRule="exact"/>
        <w:ind w:left="0" w:leftChars="0" w:firstLine="640" w:firstLineChars="200"/>
        <w:rPr>
          <w:rFonts w:ascii="仿宋_GB2312" w:eastAsia="仿宋_GB2312"/>
          <w:color w:val="000000"/>
          <w:sz w:val="32"/>
          <w:szCs w:val="32"/>
        </w:rPr>
      </w:pPr>
      <w:bookmarkStart w:id="0" w:name="_GoBack"/>
      <w:bookmarkEnd w:id="0"/>
      <w:r>
        <w:rPr>
          <w:rFonts w:hint="eastAsia" w:ascii="仿宋_GB2312" w:eastAsia="仿宋_GB2312"/>
          <w:color w:val="000000"/>
          <w:sz w:val="32"/>
          <w:szCs w:val="32"/>
        </w:rPr>
        <w:t>公务用车购置和运行维护费。2021年预算数2.47万元，其中，公务用车购置费2021年预算数0万元，公务用车运行维护费2021年预算数2.47万元，其中：公务用车燃油1.32万元，公务用车维修0.43万元，公务用车保险0.43万元，其他0.29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2021年北京奥运博物馆政府采购预算总额1873.92万元，其中：政府采购货物预算0万元，政府采购工程预算0万元，政府采购服务预算1873.92万元。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2021年北京奥运博物馆政府购买服务预算总额0万元，其中：财政拨款0万元。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2021年，北京奥运博物馆填报绩效目标的预算项目4个，占本单位全部预算项目4个的100%。填报绩效目标的项目支出预算4425.15万元，占本单位年初全部项目支出预算的100%。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截至2020年底，北京奥运博物馆共有车辆1台，17.18万元；单位价值50万元以上的通用设备0台（套）、0万元，单位价值100万元以上的专用设备0台（套）、0万元。</w:t>
      </w:r>
    </w:p>
    <w:p>
      <w:pPr>
        <w:spacing w:line="560" w:lineRule="exact"/>
        <w:ind w:firstLine="640" w:firstLineChars="200"/>
        <w:rPr>
          <w:rFonts w:ascii="仿宋_GB2312" w:eastAsia="仿宋_GB2312"/>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附件：北京奥运博物馆2021年度单位预算报表</w:t>
      </w:r>
      <w:r>
        <w:rPr>
          <w:rFonts w:hint="eastAsia" w:ascii="仿宋_GB2312" w:eastAsia="仿宋_GB2312" w:cs="宋体"/>
          <w:color w:val="000000"/>
          <w:kern w:val="0"/>
          <w:sz w:val="32"/>
          <w:szCs w:val="32"/>
          <w:lang w:val="zh-CN"/>
        </w:rPr>
        <w:t xml:space="preserve"> </w:t>
      </w:r>
      <w:r>
        <w:rPr>
          <w:rFonts w:hint="eastAsia" w:ascii="仿宋_GB2312" w:hAnsi="仿宋" w:eastAsia="仿宋_GB2312"/>
          <w:sz w:val="32"/>
          <w:szCs w:val="32"/>
        </w:rPr>
        <w:t xml:space="preserve">（见附表） </w:t>
      </w:r>
      <w:r>
        <w:rPr>
          <w:rFonts w:hint="eastAsia" w:ascii="仿宋_GB2312" w:eastAsia="仿宋_GB2312" w:cs="宋体"/>
          <w:color w:val="000000"/>
          <w:kern w:val="0"/>
          <w:sz w:val="32"/>
          <w:szCs w:val="32"/>
          <w:lang w:val="zh-CN"/>
        </w:rPr>
        <w:t xml:space="preserve"> </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A45680"/>
    <w:multiLevelType w:val="singleLevel"/>
    <w:tmpl w:val="8FA45680"/>
    <w:lvl w:ilvl="0" w:tentative="0">
      <w:start w:val="1"/>
      <w:numFmt w:val="decimal"/>
      <w:lvlText w:val="%1."/>
      <w:lvlJc w:val="left"/>
      <w:pPr>
        <w:tabs>
          <w:tab w:val="left" w:pos="312"/>
        </w:tabs>
      </w:pPr>
    </w:lvl>
  </w:abstractNum>
  <w:abstractNum w:abstractNumId="1">
    <w:nsid w:val="AAB156DE"/>
    <w:multiLevelType w:val="singleLevel"/>
    <w:tmpl w:val="AAB156DE"/>
    <w:lvl w:ilvl="0" w:tentative="0">
      <w:start w:val="1"/>
      <w:numFmt w:val="decimal"/>
      <w:lvlText w:val="%1."/>
      <w:lvlJc w:val="left"/>
      <w:pPr>
        <w:tabs>
          <w:tab w:val="left" w:pos="312"/>
        </w:tabs>
      </w:pPr>
    </w:lvl>
  </w:abstractNum>
  <w:abstractNum w:abstractNumId="2">
    <w:nsid w:val="F00E531C"/>
    <w:multiLevelType w:val="singleLevel"/>
    <w:tmpl w:val="F00E531C"/>
    <w:lvl w:ilvl="0" w:tentative="0">
      <w:start w:val="3"/>
      <w:numFmt w:val="chineseCounting"/>
      <w:suff w:val="nothing"/>
      <w:lvlText w:val="%1、"/>
      <w:lvlJc w:val="left"/>
      <w:rPr>
        <w:rFonts w:hint="eastAsia"/>
      </w:rPr>
    </w:lvl>
  </w:abstractNum>
  <w:abstractNum w:abstractNumId="3">
    <w:nsid w:val="4393C5E9"/>
    <w:multiLevelType w:val="singleLevel"/>
    <w:tmpl w:val="4393C5E9"/>
    <w:lvl w:ilvl="0" w:tentative="0">
      <w:start w:val="2"/>
      <w:numFmt w:val="chineseCounting"/>
      <w:suff w:val="nothing"/>
      <w:lvlText w:val="（%1）"/>
      <w:lvlJc w:val="left"/>
      <w:rPr>
        <w:rFonts w:hint="eastAsia"/>
      </w:rPr>
    </w:lvl>
  </w:abstractNum>
  <w:abstractNum w:abstractNumId="4">
    <w:nsid w:val="754667AA"/>
    <w:multiLevelType w:val="singleLevel"/>
    <w:tmpl w:val="754667AA"/>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E1157"/>
    <w:rsid w:val="0014236C"/>
    <w:rsid w:val="0015457E"/>
    <w:rsid w:val="001A3B48"/>
    <w:rsid w:val="00253F31"/>
    <w:rsid w:val="0027678F"/>
    <w:rsid w:val="00346FBE"/>
    <w:rsid w:val="00373F45"/>
    <w:rsid w:val="00374207"/>
    <w:rsid w:val="004512CE"/>
    <w:rsid w:val="00471CE7"/>
    <w:rsid w:val="004A1265"/>
    <w:rsid w:val="004B3CD2"/>
    <w:rsid w:val="00546732"/>
    <w:rsid w:val="00590693"/>
    <w:rsid w:val="005D2DBD"/>
    <w:rsid w:val="00654509"/>
    <w:rsid w:val="006F343A"/>
    <w:rsid w:val="00772CD0"/>
    <w:rsid w:val="0079211A"/>
    <w:rsid w:val="008136D7"/>
    <w:rsid w:val="008236A1"/>
    <w:rsid w:val="0083542B"/>
    <w:rsid w:val="0089797D"/>
    <w:rsid w:val="00933270"/>
    <w:rsid w:val="009E2D15"/>
    <w:rsid w:val="00A7474F"/>
    <w:rsid w:val="00A867F7"/>
    <w:rsid w:val="00AD75CF"/>
    <w:rsid w:val="00AE4F46"/>
    <w:rsid w:val="00AF44AB"/>
    <w:rsid w:val="00B0524A"/>
    <w:rsid w:val="00B0550C"/>
    <w:rsid w:val="00B750B5"/>
    <w:rsid w:val="00C04BCE"/>
    <w:rsid w:val="00C1006D"/>
    <w:rsid w:val="00C134F0"/>
    <w:rsid w:val="00CB4A9F"/>
    <w:rsid w:val="00CB5F08"/>
    <w:rsid w:val="00CF3FED"/>
    <w:rsid w:val="00D06CE9"/>
    <w:rsid w:val="00DB0EA4"/>
    <w:rsid w:val="00E165B8"/>
    <w:rsid w:val="00E35892"/>
    <w:rsid w:val="00E36D60"/>
    <w:rsid w:val="00EA3D45"/>
    <w:rsid w:val="00F50749"/>
    <w:rsid w:val="00F623DF"/>
    <w:rsid w:val="00F63DC8"/>
    <w:rsid w:val="00FB392C"/>
    <w:rsid w:val="00FD7230"/>
    <w:rsid w:val="00FF0109"/>
    <w:rsid w:val="00FF14CA"/>
    <w:rsid w:val="021B1804"/>
    <w:rsid w:val="063271ED"/>
    <w:rsid w:val="07961E03"/>
    <w:rsid w:val="0E6A07B3"/>
    <w:rsid w:val="1BBB297E"/>
    <w:rsid w:val="1F705C0A"/>
    <w:rsid w:val="20C00CA5"/>
    <w:rsid w:val="28BE3185"/>
    <w:rsid w:val="35DF7490"/>
    <w:rsid w:val="362A6993"/>
    <w:rsid w:val="363F5A3D"/>
    <w:rsid w:val="3CC20533"/>
    <w:rsid w:val="43A50195"/>
    <w:rsid w:val="444B73ED"/>
    <w:rsid w:val="48DA4279"/>
    <w:rsid w:val="4E2874F7"/>
    <w:rsid w:val="587A5D76"/>
    <w:rsid w:val="62EF1FBA"/>
    <w:rsid w:val="675D79D1"/>
    <w:rsid w:val="6A7C0C4A"/>
    <w:rsid w:val="6F1F1181"/>
    <w:rsid w:val="71160BE7"/>
    <w:rsid w:val="72191768"/>
    <w:rsid w:val="752D2B8D"/>
    <w:rsid w:val="77EC0357"/>
    <w:rsid w:val="785E1B57"/>
    <w:rsid w:val="7F5D7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349</Words>
  <Characters>1992</Characters>
  <Lines>16</Lines>
  <Paragraphs>4</Paragraphs>
  <TotalTime>100</TotalTime>
  <ScaleCrop>false</ScaleCrop>
  <LinksUpToDate>false</LinksUpToDate>
  <CharactersWithSpaces>2337</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保卫部</cp:lastModifiedBy>
  <cp:lastPrinted>2021-03-12T10:49:42Z</cp:lastPrinted>
  <dcterms:modified xsi:type="dcterms:W3CDTF">2021-03-12T10:58:02Z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ies>
</file>