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0" w:name="_GoBack"/>
      <w:bookmarkEnd w:id="10"/>
    </w:p>
    <w:p>
      <w:pPr>
        <w:snapToGrid w:val="0"/>
        <w:spacing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Toc5350"/>
      <w:bookmarkStart w:id="1" w:name="_Toc23867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《考古工地施工现场安全管理技术规范》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北京市地方标准编制说明</w:t>
      </w: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  <w:r>
        <w:rPr>
          <w:rFonts w:hint="eastAsia"/>
        </w:rPr>
        <w:t>一、</w:t>
      </w:r>
      <w:r>
        <w:rPr>
          <w:rFonts w:hint="eastAsia"/>
          <w:lang w:eastAsia="zh-CN"/>
        </w:rPr>
        <w:t>编制背景</w:t>
      </w:r>
      <w:bookmarkEnd w:id="0"/>
      <w:bookmarkEnd w:id="1"/>
    </w:p>
    <w:p>
      <w:pPr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-275" w:leftChars="-86" w:firstLine="819" w:firstLineChars="256"/>
        <w:jc w:val="left"/>
        <w:textAlignment w:val="auto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根据北京市市场监督管理局</w:t>
      </w:r>
      <w:r>
        <w:rPr>
          <w:rFonts w:hint="eastAsia" w:ascii="仿宋_GB2312" w:eastAsia="仿宋_GB2312"/>
          <w:sz w:val="32"/>
          <w:highlight w:val="none"/>
        </w:rPr>
        <w:t>《</w:t>
      </w:r>
      <w:r>
        <w:rPr>
          <w:rFonts w:hint="eastAsia" w:ascii="仿宋_GB2312" w:eastAsia="仿宋_GB2312"/>
          <w:sz w:val="32"/>
          <w:highlight w:val="none"/>
          <w:lang w:eastAsia="zh-CN"/>
        </w:rPr>
        <w:t>关于印发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2025年北京市地方标准制定项目计划的通知</w:t>
      </w:r>
      <w:r>
        <w:rPr>
          <w:rFonts w:hint="eastAsia" w:ascii="仿宋_GB2312" w:eastAsia="仿宋_GB2312"/>
          <w:sz w:val="32"/>
          <w:highlight w:val="none"/>
        </w:rPr>
        <w:t>》</w:t>
      </w:r>
      <w:r>
        <w:rPr>
          <w:rFonts w:hint="eastAsia" w:ascii="仿宋_GB2312" w:eastAsia="仿宋_GB2312"/>
          <w:sz w:val="32"/>
        </w:rPr>
        <w:t>（</w:t>
      </w:r>
      <w:r>
        <w:rPr>
          <w:rFonts w:hint="eastAsia" w:ascii="仿宋_GB2312" w:eastAsia="仿宋_GB2312"/>
          <w:sz w:val="32"/>
          <w:lang w:eastAsia="zh-CN"/>
        </w:rPr>
        <w:t>京市监发</w:t>
      </w:r>
      <w:r>
        <w:rPr>
          <w:rFonts w:hint="eastAsia" w:ascii="仿宋_GB2312" w:eastAsia="仿宋_GB2312"/>
          <w:sz w:val="32"/>
        </w:rPr>
        <w:t>〔2025〕1号）及北京市文物局《关于做好2025 年北京市地方标准制定项目起草工作的通知》（京文物〔2025〕81号）要求，北京市考古研究院（北京市文化遗产研究院）与</w:t>
      </w:r>
      <w:r>
        <w:rPr>
          <w:rFonts w:hint="eastAsia"/>
        </w:rPr>
        <w:t>北京市科学技术研究院城市安全与环境科学研究所</w:t>
      </w:r>
      <w:r>
        <w:rPr>
          <w:rFonts w:hint="eastAsia" w:ascii="仿宋_GB2312" w:eastAsia="仿宋_GB2312"/>
          <w:sz w:val="32"/>
        </w:rPr>
        <w:t>共同开展</w:t>
      </w:r>
      <w:r>
        <w:rPr>
          <w:rFonts w:hint="eastAsia"/>
        </w:rPr>
        <w:t>《考古工地施工现场安全管理技术规范》</w:t>
      </w:r>
      <w:r>
        <w:rPr>
          <w:rFonts w:hint="eastAsia" w:ascii="仿宋_GB2312" w:eastAsia="仿宋_GB2312"/>
          <w:sz w:val="32"/>
        </w:rPr>
        <w:t>（标准立项号：2025113</w:t>
      </w:r>
      <w:r>
        <w:rPr>
          <w:rFonts w:hint="eastAsia" w:ascii="仿宋_GB2312"/>
          <w:sz w:val="32"/>
          <w:lang w:val="en-US" w:eastAsia="zh-CN"/>
        </w:rPr>
        <w:t>3</w:t>
      </w:r>
      <w:r>
        <w:rPr>
          <w:rFonts w:hint="eastAsia" w:ascii="仿宋_GB2312" w:eastAsia="仿宋_GB2312"/>
          <w:sz w:val="32"/>
        </w:rPr>
        <w:t>）的编制工作。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黑体" w:hAnsi="黑体" w:eastAsia="黑体" w:cs="黑体"/>
        </w:rPr>
      </w:pPr>
      <w:bookmarkStart w:id="2" w:name="_Toc23439"/>
      <w:bookmarkStart w:id="3" w:name="_Toc1274"/>
      <w:r>
        <w:rPr>
          <w:rFonts w:hint="eastAsia" w:ascii="黑体" w:hAnsi="黑体" w:eastAsia="黑体" w:cs="黑体"/>
        </w:rPr>
        <w:t>二、</w:t>
      </w:r>
      <w:bookmarkEnd w:id="2"/>
      <w:bookmarkEnd w:id="3"/>
      <w:bookmarkStart w:id="4" w:name="_Toc7742"/>
      <w:bookmarkStart w:id="5" w:name="_Toc30322"/>
      <w:r>
        <w:rPr>
          <w:rFonts w:hint="eastAsia" w:ascii="黑体" w:hAnsi="黑体" w:eastAsia="黑体" w:cs="黑体"/>
        </w:rPr>
        <w:t>制定标准的原则和依据，与现行法律、法规、标准的关系，与国内外同类标准水平的对比情况</w:t>
      </w:r>
      <w:bookmarkEnd w:id="4"/>
      <w:bookmarkEnd w:id="5"/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  <w:r>
        <w:rPr>
          <w:rFonts w:hint="eastAsia"/>
        </w:rPr>
        <w:t>（一）编制原则及依据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</w:pPr>
      <w:r>
        <w:rPr>
          <w:rFonts w:hint="eastAsia"/>
        </w:rPr>
        <w:t>本标准按照GB/T 1.1—2020《标准化工作导则 第1部分：标准的结构和编写》的要求与规定进行编写，制定过程主要遵循以下原则：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</w:pPr>
      <w:r>
        <w:rPr>
          <w:rFonts w:hint="eastAsia"/>
        </w:rPr>
        <w:t>安全性与针对性并重：以保障考古作业人员人身安全和文物安全为首要目标，充分考虑考古工地与一般建筑现场在作业目标、作业方法、环境条件和风险特征上的差异，确保标准更贴合考古工作实际需求。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</w:pPr>
      <w:r>
        <w:rPr>
          <w:rFonts w:hint="eastAsia"/>
        </w:rPr>
        <w:t>系统性与可操作性：条款涵盖考古作业现场的基本要求、现场安全、消防安全、临时建筑及设施安全、治安防控等方面，确保实施单位可直接依据标准组织开展安全管理工作。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  <w:r>
        <w:rPr>
          <w:rFonts w:hint="eastAsia"/>
        </w:rPr>
        <w:t>（二）与现行法律、法规、标准的关系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</w:pPr>
      <w:r>
        <w:rPr>
          <w:rFonts w:hint="eastAsia"/>
        </w:rPr>
        <w:t>本标准是对GB 55024等通用施工安全标准的补充与细化，专门针对考古工地的特殊环境进行拓展；与GB/T 16571、DB11/T 2120在文物保护安全方面保持一致，同时增加了考古作业现场常见施工安全情景（如坑壁支护、有限空间作业）的细化要求。此外，本标准参考了陕西省地方标准《考古工地安全施工规范》</w:t>
      </w:r>
      <w:r>
        <w:rPr>
          <w:rFonts w:hint="eastAsia"/>
          <w:lang w:val="en-US" w:eastAsia="zh-CN"/>
        </w:rPr>
        <w:t>和山西省地方标准</w:t>
      </w:r>
      <w:r>
        <w:rPr>
          <w:rFonts w:hint="eastAsia"/>
          <w:lang w:eastAsia="zh-CN"/>
        </w:rPr>
        <w:t>《</w:t>
      </w:r>
      <w:r>
        <w:rPr>
          <w:rFonts w:hint="eastAsia"/>
        </w:rPr>
        <w:t>考古发掘现场安全设施基本要求</w:t>
      </w:r>
      <w:r>
        <w:rPr>
          <w:rFonts w:hint="eastAsia"/>
          <w:lang w:eastAsia="zh-CN"/>
        </w:rPr>
        <w:t>》</w:t>
      </w:r>
      <w:r>
        <w:rPr>
          <w:rFonts w:hint="eastAsia"/>
        </w:rPr>
        <w:t>，在结构安排和内容覆盖上保持一致性，并结合北京市特点细化调整。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</w:pPr>
      <w:r>
        <w:rPr>
          <w:rFonts w:hint="eastAsia"/>
        </w:rPr>
        <w:t>综上，本文件与现行法律、法规及强制性标准无冲突，实施后不会替代或废止现有相关标准，而是形成针对考古工地的专项支撑性规范。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  <w:r>
        <w:rPr>
          <w:rFonts w:hint="eastAsia"/>
        </w:rPr>
        <w:t>（三）与国内外同类标准水平的对比情况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</w:pPr>
      <w:r>
        <w:rPr>
          <w:rFonts w:hint="eastAsia"/>
        </w:rPr>
        <w:t>目前国内同类标准主要为陕西省地方标准《考古工地安全施工规范》（DB61/T 1724—2023）和山西省地方标准《考古发掘现场安全设施基本要求》（DB14/T 3567—2025）。这两项标准主要聚焦发掘现场的施工安全与设施配置，内容未充分考虑城市考古的复杂环境与多源风险。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</w:pPr>
      <w:r>
        <w:rPr>
          <w:rFonts w:hint="eastAsia"/>
        </w:rPr>
        <w:t>本标准在体系结构、内容深度和适用范围上均有所提升，构建了覆盖考古发掘现场基本要求、现场安全、消防安全、临时建筑及设施安全、治安防控的全过程管理体系，兼顾文物安全与人员安全，突出城市考古中的高风险情景防控要求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  <w:bookmarkStart w:id="6" w:name="_Toc1876"/>
      <w:bookmarkStart w:id="7" w:name="_Toc8038"/>
      <w:r>
        <w:rPr>
          <w:rFonts w:hint="eastAsia"/>
          <w:lang w:eastAsia="zh-CN"/>
        </w:rPr>
        <w:t>三</w:t>
      </w:r>
      <w:r>
        <w:rPr>
          <w:rFonts w:hint="eastAsia"/>
        </w:rPr>
        <w:t>、主要条款及条款编制依据的说明</w:t>
      </w:r>
      <w:bookmarkEnd w:id="6"/>
      <w:bookmarkEnd w:id="7"/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/>
        <w:textAlignment w:val="auto"/>
      </w:pPr>
      <w:r>
        <w:rPr>
          <w:rFonts w:hint="eastAsia"/>
          <w:lang w:eastAsia="zh-CN"/>
        </w:rPr>
        <w:t>（一）</w:t>
      </w:r>
      <w:r>
        <w:rPr>
          <w:rFonts w:hint="eastAsia"/>
        </w:rPr>
        <w:t xml:space="preserve"> 范围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</w:pPr>
      <w:r>
        <w:rPr>
          <w:rFonts w:hint="eastAsia"/>
        </w:rPr>
        <w:t>明确适用范围是保障标准适用性与权威性的重要前提。北京市考古工地的作业安全与文物安全同等重要，需在范围中统一界定适用对象与管理范畴，为执行部门、作业单位、监理机构和监管部门提供明确依据。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</w:pPr>
      <w:r>
        <w:rPr>
          <w:rFonts w:hint="eastAsia"/>
        </w:rPr>
        <w:t>与建筑施工现场相比，考古工地不仅要满足一般施工安全要求，还需兼顾遗址保护、文物出土安全及特殊作业环境（如墓穴、探沟、地下遗迹）的风险控制。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</w:pPr>
      <w:r>
        <w:rPr>
          <w:rFonts w:hint="eastAsia"/>
        </w:rPr>
        <w:t>因此，本文件的适用范围界定为：适用于考古工地安全管理的技术要求。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/>
        <w:textAlignment w:val="auto"/>
      </w:pPr>
      <w:r>
        <w:rPr>
          <w:rFonts w:hint="eastAsia"/>
          <w:lang w:eastAsia="zh-CN"/>
        </w:rPr>
        <w:t>（二）</w:t>
      </w:r>
      <w:r>
        <w:rPr>
          <w:rFonts w:hint="eastAsia"/>
        </w:rPr>
        <w:t xml:space="preserve"> 术语和定义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</w:pPr>
      <w:r>
        <w:rPr>
          <w:rFonts w:hint="eastAsia"/>
        </w:rPr>
        <w:t>为明确标准适用对象，结合北京市考古工作实际，专门对“考古工地”进行界定：“开展考古调查、勘探、发掘工作的区域、场所”。该术语参考《考古装备及设施配备导则》第2（三）条对考古工地的定义，用于区分一般建设工程施工现场、文物保护单位等概念，突出本标准针对依法开展考古调查、勘探、发掘活动的现场安全管理这一核心定位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/>
        <w:textAlignment w:val="auto"/>
      </w:pPr>
      <w:r>
        <w:rPr>
          <w:rFonts w:hint="eastAsia"/>
          <w:lang w:eastAsia="zh-CN"/>
        </w:rPr>
        <w:t>（三）</w:t>
      </w:r>
      <w:r>
        <w:rPr>
          <w:rFonts w:hint="eastAsia"/>
        </w:rPr>
        <w:t xml:space="preserve"> 基本要求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highlight w:val="none"/>
        </w:rPr>
      </w:pPr>
      <w:r>
        <w:rPr>
          <w:rFonts w:hint="eastAsia"/>
          <w:highlight w:val="none"/>
        </w:rPr>
        <w:t>4.3 本条规定考古工地应至少配备1名专兼职安全管理人员。考古发掘多为露天、深基坑、有限空间等较高风险作业，人员构成复杂，若缺少明确的专（兼）职安全管理人员，易出现安全责任落实不到位、隐患排查不及时、应急处置不专业等问题。通过明确配备要求，推动考古单位建立稳定的安全管理力量，强化日常巡查、教育培训和现场管控，确保各项安全制度和技术措施落地执行，降低事故发生率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</w:pPr>
      <w:r>
        <w:rPr>
          <w:rFonts w:hint="eastAsia"/>
        </w:rPr>
        <w:t>4.6 本条规定考古项目各参与单位应签订责任协议，明确考古单位与建设（施工）单位、第三方施工服务单位的安全职责和管理边界。考古项目参与主体多、交叉作业频繁，若不通过书面协议细化和划分安全责任，易出现管理真空、责任不清、相互推诿等问题，增加现场安全风险。将各方安全职责前置到协议中，可为施工组织、隐患排查、费用投入和事故处理提供依据，强化建设单位的法定主体责任和各参与方的协同管理，降低联合施工条件下的安全风险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/>
        <w:textAlignment w:val="auto"/>
      </w:pPr>
      <w:r>
        <w:rPr>
          <w:rFonts w:hint="eastAsia"/>
          <w:lang w:eastAsia="zh-CN"/>
        </w:rPr>
        <w:t>（四）</w:t>
      </w:r>
      <w:r>
        <w:rPr>
          <w:rFonts w:hint="eastAsia"/>
        </w:rPr>
        <w:t xml:space="preserve"> 现场安全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</w:pPr>
      <w:r>
        <w:rPr>
          <w:rFonts w:hint="eastAsia"/>
        </w:rPr>
        <w:t>5.1 考古作业多在露天、基坑等环境中进行，受地下水、雨水和周边水体影响较大，若不及时控水、排水，易引发坑壁失稳、滑塌甚至人员淹溺等事故。依据GB 55034-2022《建筑与市政施工现场安全卫生与职业健康通用规范》3.14.1条“当场地内开挖的槽、坑、沟、池等积水深度超过0.5m时，应采取安全防护措施”的要求，本条规定对存在渗漏水风险的作业区必须采取防水、排水、降水、堵水及截水等措施，当水深超过0.5m时必须设置安全防护措施，保障作业人员人身安全和发掘区、文物本体的安全稳定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</w:pPr>
      <w:r>
        <w:rPr>
          <w:rFonts w:hint="eastAsia"/>
        </w:rPr>
        <w:t>5.2 考古工地多涉及深基坑、墓穴等高风险作业，土体结构复杂，受扰动、雨水及施工荷载影响易发生坍塌，造成人员伤亡和文物损毁。</w:t>
      </w:r>
      <w:r>
        <w:rPr>
          <w:rFonts w:hint="eastAsia"/>
          <w:lang w:val="en-US" w:eastAsia="zh-CN"/>
        </w:rPr>
        <w:t>发掘</w:t>
      </w:r>
      <w:r>
        <w:rPr>
          <w:rFonts w:hint="eastAsia"/>
        </w:rPr>
        <w:t>深度超过2 m后坑壁稳定性受土体扰动、地下水、降雨及堆载等影响显著增大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本条规定当发掘深度超过2m，或发掘对象、坑壁、隔梁、关键柱等存在失稳风险时，应立即开展评估，并采取扩大开口、支护加固、揭顶法、放坡、预留台阶或拆除等控制措施，规范失稳风险处置流程，指导选用合理的加固与拆除措施，降低坍塌事故发生率，保障发掘人员和发掘对象安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/>
          <w:lang w:eastAsia="zh-CN"/>
        </w:rPr>
      </w:pPr>
      <w:r>
        <w:rPr>
          <w:rFonts w:hint="eastAsia"/>
        </w:rPr>
        <w:t>5.4 随着发掘深度的增加，开挖单元间隔距离</w:t>
      </w:r>
      <w:r>
        <w:rPr>
          <w:rFonts w:hint="eastAsia"/>
          <w:lang w:val="en-US" w:eastAsia="zh-CN"/>
        </w:rPr>
        <w:t>应当</w:t>
      </w:r>
      <w:r>
        <w:rPr>
          <w:rFonts w:hint="eastAsia"/>
        </w:rPr>
        <w:t>适当加大，《田野考古工作规程》规定：探方发掘过程中要保留东边和北边各1米宽的隔梁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因此根据考古施工现场的实际操作经验规定发掘深度不超过5m的探方之间隔梁宽度应为1m及以上；发掘深度超过5m的探方之间隔梁宽度应为2m及以上，这样</w:t>
      </w:r>
      <w:r>
        <w:rPr>
          <w:rFonts w:hint="eastAsia"/>
        </w:rPr>
        <w:t>有利于增强</w:t>
      </w:r>
      <w:r>
        <w:rPr>
          <w:rFonts w:hint="eastAsia"/>
          <w:lang w:val="en-US" w:eastAsia="zh-CN"/>
        </w:rPr>
        <w:t>隔梁</w:t>
      </w:r>
      <w:r>
        <w:rPr>
          <w:rFonts w:hint="eastAsia"/>
        </w:rPr>
        <w:t>稳定性、保障人员通行与施工安全</w:t>
      </w:r>
      <w:r>
        <w:rPr>
          <w:rFonts w:hint="eastAsia"/>
          <w:lang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5.5 发掘作业人员出入探方，频繁上下搬运工具、样品、文物周转箱等，为保障探方作业人员安全、便捷地上下通行应在探方里设置</w:t>
      </w:r>
      <w:r>
        <w:rPr>
          <w:rFonts w:hint="eastAsia"/>
        </w:rPr>
        <w:t>上下坡道或爬梯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不仅可以避免人员攀爬坑壁造成滑跌坠落等伤害，同时可以减少对坑壁的踩踏扰动，降低坍塌风险；在发生险情或人员受伤时，也可作为紧急疏散和救援的通道，提升现场安全管理与应急处置能力。JGJ 59-2011《建筑施工安全检查标准》第3.11.3.6规定“基坑内应设置供施工人员上下的专用梯道。梯道的宽度不应小于 1m”，</w:t>
      </w:r>
      <w:r>
        <w:rPr>
          <w:rFonts w:hint="eastAsia"/>
        </w:rPr>
        <w:t>《田野考古工作规程》</w:t>
      </w:r>
      <w:r>
        <w:rPr>
          <w:rFonts w:hint="eastAsia"/>
          <w:lang w:val="en-US" w:eastAsia="zh-CN"/>
        </w:rPr>
        <w:t>的附录一（三）1条规定：</w:t>
      </w:r>
      <w:r>
        <w:rPr>
          <w:rFonts w:hint="eastAsia"/>
        </w:rPr>
        <w:t>探沟深度超过2米，需留出便于出土的台阶，台阶宽度不窄于1米。“不少于2个出口”可避免单向受阻带来的滞留风险；双通道冗余和更宽净空能确保高峰作业时的通行与紧急撤离效率。</w:t>
      </w:r>
      <w:r>
        <w:rPr>
          <w:rFonts w:hint="eastAsia"/>
          <w:lang w:val="en-US" w:eastAsia="zh-CN"/>
        </w:rPr>
        <w:t>本条据此规定“探方内应设置上下坡道或爬梯，宽度不应小于1m，数量不宜少于2个。”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</w:pPr>
      <w:r>
        <w:rPr>
          <w:rFonts w:hint="eastAsia"/>
        </w:rPr>
        <w:t>5.6 考古现场的堆土位置和距离直接影响边坡稳定和作业通行，堆土过近或随意堆放会增加坑壁附加荷载、阻碍人员与设备进出，遇降雨、渗水等工况时，极易诱发滑塌、滚落伤人等事故。依据JGJ 311-2013《建筑深基坑工程施工安全技术规范》11.2.2 条“基坑周边使用荷载不应超过设计限值，基坑周边1.5m范围内不得堆载，3m以内限制堆载，坑边严禁重型车辆通行；当设计已考虑堆载时，必须按设计要求执行，严禁超载”</w:t>
      </w:r>
      <w:r>
        <w:rPr>
          <w:rFonts w:hint="eastAsia"/>
          <w:lang w:eastAsia="zh-CN"/>
        </w:rPr>
        <w:t>，</w:t>
      </w:r>
      <w:r>
        <w:rPr>
          <w:rFonts w:hint="eastAsia"/>
        </w:rPr>
        <w:t>DB 11/T 1974-2022《既有居住区综合管廊工程施工技术规程》5.2.2条“基坑顶部周围2m范围内，严禁堆放弃土及建筑材料等；2m范围以外堆载不应超过设计荷载值”的要求，本条规定</w:t>
      </w:r>
      <w:r>
        <w:rPr>
          <w:rFonts w:hint="eastAsia"/>
          <w:lang w:val="en-US" w:eastAsia="zh-CN"/>
        </w:rPr>
        <w:t>的堆土距离与陕西省地方标准DB 61/T 1724-2023《考古工地安全施工规范》的第6.4条保持一致：“</w:t>
      </w:r>
      <w:r>
        <w:rPr>
          <w:rFonts w:hint="eastAsia"/>
        </w:rPr>
        <w:t>发掘产生的堆土距探方、探沟边缘的距离应不小于其深度且大于2m</w:t>
      </w:r>
      <w:r>
        <w:rPr>
          <w:rFonts w:hint="eastAsia"/>
          <w:lang w:eastAsia="zh-CN"/>
        </w:rPr>
        <w:t>”</w:t>
      </w:r>
      <w:r>
        <w:rPr>
          <w:rFonts w:hint="eastAsia"/>
        </w:rPr>
        <w:t>。通过明确堆土布置方向和安全距离，规范现场土方管理，降低边坡失稳和堆土滑落风险。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</w:pPr>
      <w:r>
        <w:rPr>
          <w:rFonts w:hint="eastAsia"/>
        </w:rPr>
        <w:t>5.9 考古工地多为露天野外、基坑和有限空间墓穴等作业环境，存在坠落、坍塌、物体打击、有害物质接触等危险，若缺乏相应防护或佩戴不规范，易造成人身伤害。户外作业可能面临地面泥泞、湿滑的情况，野外工作（特别是田野调查）中常出现打滑崴脚、扭伤等问题；夏季作业需防范中暑，服装应满足防暑排汗要求。因此，本条规定应按照GB 39800.1的要求为考古从业人员配备必要的个体防护装备，包括安全帽、防护鞋、防护手套、防坠落装置等。通过统一配置和规范使用考古专用个体防护装备，降低作业人员受伤概率。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</w:pPr>
      <w:r>
        <w:rPr>
          <w:rFonts w:hint="eastAsia"/>
        </w:rPr>
        <w:t>5.10 考古工地环境复杂、人员构成多样，若缺乏规范的标志，易导致人员误入危险区域、疏散方向不清或延误事故扑救。本条规定考古工地应按照GB 2894 设置安全标志，并按照GB 13495.1设置消防安全标志，在出入口、危险区域、疏散通道及消防设施位置进行统一、醒目标识。采用现行国家标准的安全标志和消防安全标志，可直观提示风险与消防信息，提高现场自我警示和应急处置能力，降低人身伤害和事故风险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</w:pPr>
      <w:r>
        <w:rPr>
          <w:rFonts w:hint="eastAsia"/>
        </w:rPr>
        <w:t>5.11 与工业有限空间相比，考古中的有限空间多为古代人工构筑物或自然形成的封闭空间，结构稳定性差、气体环境不明，且作业人员常需长时间停留并进行精细操作，对通风检测、防护装备和监护制度的要求更高。</w:t>
      </w:r>
      <w:r>
        <w:rPr>
          <w:rFonts w:hint="eastAsia"/>
          <w:highlight w:val="none"/>
        </w:rPr>
        <w:t>如果考古现场的墓穴、水井、地下洞室、窄小探沟等存在空气不流通的情况或有缺氧、有毒有害气体的风险，必须按照 GB 46768的要求严格执行有限空间的作业程序和监护制度，相关人员应经有限空间作业专题安全培训，考核合格、取得相应资格后，方可上岗作业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</w:rPr>
        <w:t>防止中毒、窒息及爆炸事故发生。</w:t>
      </w:r>
      <w:r>
        <w:rPr>
          <w:rFonts w:hint="eastAsia"/>
        </w:rPr>
        <w:t>该要求区别于普通建筑施工，增加了文物发掘特有的环境风险控制内容。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</w:pPr>
      <w:r>
        <w:rPr>
          <w:rFonts w:hint="eastAsia"/>
        </w:rPr>
        <w:t>5.12 本条规定考古工地危险化学品的使用、储存与管理应符合DB 11/T 1322.2的相关要求。部分野外考古工地（如箭扣长城考古工地）为保障照明、取暖和施工用电，会使用发电机并存放汽油、柴油等易燃液体，若管理不规范、随意堆放或混放，极易引发火灾等事故。将考古工地零星、分散的危险化学品纳入统一安全管理体系，落实专人保管、分类分区存放、限量使用和台账登记等措施，降低事故和环境污染风险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/>
        <w:textAlignment w:val="auto"/>
      </w:pPr>
      <w:r>
        <w:rPr>
          <w:rFonts w:hint="eastAsia"/>
          <w:lang w:eastAsia="zh-CN"/>
        </w:rPr>
        <w:t>（五）</w:t>
      </w:r>
      <w:r>
        <w:rPr>
          <w:rFonts w:hint="eastAsia"/>
        </w:rPr>
        <w:t xml:space="preserve"> 消防安全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/>
        </w:rPr>
      </w:pPr>
      <w:r>
        <w:rPr>
          <w:rFonts w:hint="eastAsia"/>
        </w:rPr>
        <w:t>6.2 考古工地若缺乏实战化演练和预案动态更新，在坍塌、火灾、中毒等突发事件中易出现响应迟缓、处置混乱的情况。通过常态化、闭环式的应急演练，可检验预案的可行性，提升现场自救互救和协同处置能力。因此，参照GB/T 16571-2012《博物馆和文物保护单位安全防范系统要求》5.3.4条的要求，本条规定考古工地应根据实际情况编制应急预案，并按照应急预案定期组织应急演练，每季度至少开展1次；同时根据演练中发现的问题，及时修订完善预案并落实整改措施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  <w:lang w:val="en-US" w:eastAsia="zh-CN"/>
        </w:rPr>
        <w:t>6.4 考古工地在设施搭建、设备维修等过程中，存在焊接、切割、明火加热等动火作业场景。考古工地动火作业的火灾风险较高，若审批不严、监护不到位或器材配置不足，极易引发火灾事故，造成文物和人员重大损失。本条依据GB/T 50720—2025《建设工程施工现场消防安全技术标准》第6.3.1.8条规定考古工地因设施搭建、设备维修等进行动火作业时，应按GB/T 50720的要求履行动火审批手续，并指定专人监护，配备相应消防器材，作业结束后监护人员至少在现场监护30分钟。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/>
        <w:textAlignment w:val="auto"/>
      </w:pPr>
      <w:r>
        <w:rPr>
          <w:rFonts w:hint="eastAsia"/>
          <w:lang w:eastAsia="zh-CN"/>
        </w:rPr>
        <w:t>（六）</w:t>
      </w:r>
      <w:r>
        <w:rPr>
          <w:rFonts w:hint="eastAsia"/>
        </w:rPr>
        <w:t xml:space="preserve"> 临时建筑及设施安全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</w:pPr>
      <w:r>
        <w:rPr>
          <w:rFonts w:hint="eastAsia"/>
        </w:rPr>
        <w:t>7.2-7.3 这两条规定考古工地临时建筑及设施的避雷装置设计施工应符合GB 50057要求，临时用电应符合GB 55034和JGJ 46等现行规范要求。考古工地多处于野外空旷或高差地带，雷击风险和临时用电风险突出，且现场常用发电机、临时配电箱、电缆线等设备，若不按规范设计和施工，容易引发雷击伤害、触电和火灾等事故。</w:t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3"/>
        <w:textAlignment w:val="auto"/>
      </w:pPr>
      <w:r>
        <w:rPr>
          <w:rFonts w:hint="eastAsia"/>
          <w:lang w:eastAsia="zh-CN"/>
        </w:rPr>
        <w:t>（七）</w:t>
      </w:r>
      <w:r>
        <w:rPr>
          <w:rFonts w:hint="eastAsia"/>
        </w:rPr>
        <w:t xml:space="preserve"> 治安防控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</w:pPr>
      <w:r>
        <w:rPr>
          <w:rFonts w:hint="eastAsia"/>
        </w:rPr>
        <w:t>8.1 考古工地内文物分布不均，被侵害风险存在差异，因此将防护区域分为重点防护区域和一般防护区域，并对重点部位和一般部位提出差异化防护要求。若不区分重点与一般区域、部位，既难以突出对出土文物集中区、文物库房等重点目标的保护，又会造成资源浪费。通过分区、分部位提出针对性要求，按照重要程度和风险水平配置人防、物防、技防措施，可整体提升考古工地的文物安全保障能力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</w:pPr>
      <w:r>
        <w:rPr>
          <w:rFonts w:hint="eastAsia"/>
        </w:rPr>
        <w:t>8.3 本条规定了考古工地的实体安全防范要求：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</w:pPr>
      <w:r>
        <w:rPr>
          <w:rFonts w:hint="eastAsia"/>
        </w:rPr>
        <w:t>8.3.2 城市道路周边人流、车流密集，若围挡高度不足或强度不够，易被翻越、破坏，或导致人员靠近发掘区观望、逗留，增加坠落、坍塌及文物被侵害风险。依据《建筑施工安全检查标准》JGJ 59-2011第3.2.3条“市区主要路段围挡高度不应低于2.5m，一般路段不应低于1.8m；应实行封闭管理并设置硬质围挡”的要求，本条规定考古发掘工地周界应设置围挡，并分别对市区主要路段和一般路段的围挡高度提出最低要求，提升周界的实体阻隔能力；对于调查、勘探类工地，则根据实际情况确定是否设置围挡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</w:pPr>
      <w:r>
        <w:rPr>
          <w:rFonts w:hint="eastAsia"/>
        </w:rPr>
        <w:t>8.4 本条规定了考古工地的技术安全防范要求：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</w:pPr>
      <w:r>
        <w:rPr>
          <w:rFonts w:hint="eastAsia"/>
        </w:rPr>
        <w:t>8.4.2 本款规定周界入侵探测装置应与视频安防监控、辅助照明及声光警示装置联动，声光警示装置声压不小于100dB（A），报警应持续至操作员确认后方可解除。若考古工地的不同安防电子系统各自独立、报警信号不明显，易出现报警无人察觉的情况。通过联动设计和足够的声压强度，确保异常情况发生时能同步触发照明、录像和警示，方便值守人员快速定位并处置警情，降低漏报、迟报风险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</w:pPr>
      <w:r>
        <w:rPr>
          <w:rFonts w:hint="eastAsia"/>
        </w:rPr>
        <w:t>8.4.3 重要探方（沟）、墓葬现场、出土遗物运输通道、文物库房以及对外开放的考古工地等，是文物集中和人员活动密集区域，也是盗窃、破坏的高风险目标，若安防系统布置随意，易出现监控盲区、防范措施错配等问题。因此，本条规定应按GB/T 16571和DB11/T 2120的要求，合理配置摄像机、入侵探测、门禁等设施，实现重点部位安全防范的系统化、规范化。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</w:pPr>
      <w:bookmarkStart w:id="8" w:name="_Toc23703"/>
      <w:bookmarkStart w:id="9" w:name="_Toc27592"/>
      <w:r>
        <w:rPr>
          <w:rFonts w:hint="eastAsia"/>
          <w:lang w:eastAsia="zh-CN"/>
        </w:rPr>
        <w:t>四</w:t>
      </w:r>
      <w:r>
        <w:rPr>
          <w:rFonts w:hint="eastAsia"/>
        </w:rPr>
        <w:t>、其他应说明的事项</w:t>
      </w:r>
      <w:bookmarkEnd w:id="8"/>
      <w:bookmarkEnd w:id="9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/>
        </w:rPr>
      </w:pPr>
      <w:r>
        <w:rPr>
          <w:rFonts w:hint="eastAsia"/>
        </w:rPr>
        <w:t>本文件不涉及专利等知识产权相关问题。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</w:pPr>
      <w:r>
        <w:rPr>
          <w:rFonts w:hint="eastAsia"/>
        </w:rPr>
        <w:t>《考古工地施工现场安全管理技术规范》标准编制组2025年12月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5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4"/>
      <w:suff w:val="nothing"/>
      <w:lvlText w:val="%1%2.%3　"/>
      <w:lvlJc w:val="left"/>
      <w:pPr>
        <w:ind w:left="426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EAE"/>
    <w:rsid w:val="000E43AF"/>
    <w:rsid w:val="002F2EAE"/>
    <w:rsid w:val="00320F00"/>
    <w:rsid w:val="006D7331"/>
    <w:rsid w:val="009F24A6"/>
    <w:rsid w:val="00CD1519"/>
    <w:rsid w:val="032A4C70"/>
    <w:rsid w:val="037B4AA0"/>
    <w:rsid w:val="046C3066"/>
    <w:rsid w:val="06514C09"/>
    <w:rsid w:val="070D0B30"/>
    <w:rsid w:val="07222102"/>
    <w:rsid w:val="077970FD"/>
    <w:rsid w:val="077E37DC"/>
    <w:rsid w:val="08D4742C"/>
    <w:rsid w:val="0AFA6591"/>
    <w:rsid w:val="0BBA6DAD"/>
    <w:rsid w:val="0ECD4A0F"/>
    <w:rsid w:val="0ED87C76"/>
    <w:rsid w:val="0FE34B24"/>
    <w:rsid w:val="118B7221"/>
    <w:rsid w:val="11E07CB3"/>
    <w:rsid w:val="12480044"/>
    <w:rsid w:val="13A10F7E"/>
    <w:rsid w:val="13AF10A9"/>
    <w:rsid w:val="140E7C96"/>
    <w:rsid w:val="157D50D3"/>
    <w:rsid w:val="16DB47A7"/>
    <w:rsid w:val="1ACF330A"/>
    <w:rsid w:val="1B387380"/>
    <w:rsid w:val="1D4666F2"/>
    <w:rsid w:val="1D6B6159"/>
    <w:rsid w:val="1ED33FB6"/>
    <w:rsid w:val="1F16315C"/>
    <w:rsid w:val="1F3C0F56"/>
    <w:rsid w:val="21780E44"/>
    <w:rsid w:val="241A4435"/>
    <w:rsid w:val="24BE1264"/>
    <w:rsid w:val="261A0240"/>
    <w:rsid w:val="26D20FF7"/>
    <w:rsid w:val="275825EA"/>
    <w:rsid w:val="277C6760"/>
    <w:rsid w:val="28B92167"/>
    <w:rsid w:val="2BE05F64"/>
    <w:rsid w:val="2F6618A5"/>
    <w:rsid w:val="2FC76AA3"/>
    <w:rsid w:val="306727B0"/>
    <w:rsid w:val="372431A9"/>
    <w:rsid w:val="37353987"/>
    <w:rsid w:val="3D1141CF"/>
    <w:rsid w:val="3D7301EA"/>
    <w:rsid w:val="3EC15781"/>
    <w:rsid w:val="3F780536"/>
    <w:rsid w:val="40444089"/>
    <w:rsid w:val="42976F25"/>
    <w:rsid w:val="445C7035"/>
    <w:rsid w:val="45256576"/>
    <w:rsid w:val="45E32481"/>
    <w:rsid w:val="48A771DB"/>
    <w:rsid w:val="4B4340EE"/>
    <w:rsid w:val="4BFC0E50"/>
    <w:rsid w:val="4C3E5343"/>
    <w:rsid w:val="4E6B4968"/>
    <w:rsid w:val="4F9E4FD6"/>
    <w:rsid w:val="51754140"/>
    <w:rsid w:val="528648C0"/>
    <w:rsid w:val="54556C40"/>
    <w:rsid w:val="547D5EFD"/>
    <w:rsid w:val="551B39E5"/>
    <w:rsid w:val="57D003BF"/>
    <w:rsid w:val="57EC1669"/>
    <w:rsid w:val="59260BAB"/>
    <w:rsid w:val="5BDC19F5"/>
    <w:rsid w:val="5C294C3A"/>
    <w:rsid w:val="60E107A2"/>
    <w:rsid w:val="66E77BCB"/>
    <w:rsid w:val="676025BC"/>
    <w:rsid w:val="68B63758"/>
    <w:rsid w:val="69C441F4"/>
    <w:rsid w:val="6A696B49"/>
    <w:rsid w:val="6B032AFA"/>
    <w:rsid w:val="6CAEA5D6"/>
    <w:rsid w:val="6DA00AD4"/>
    <w:rsid w:val="6E7756A8"/>
    <w:rsid w:val="6F1572A0"/>
    <w:rsid w:val="6FD74555"/>
    <w:rsid w:val="72AB5F51"/>
    <w:rsid w:val="74795BDB"/>
    <w:rsid w:val="77BF01FB"/>
    <w:rsid w:val="78412EB3"/>
    <w:rsid w:val="7A65732D"/>
    <w:rsid w:val="7A6B1788"/>
    <w:rsid w:val="7A7324B2"/>
    <w:rsid w:val="7ACF0C4A"/>
    <w:rsid w:val="7B8C2698"/>
    <w:rsid w:val="7C7A6994"/>
    <w:rsid w:val="7E1150D6"/>
    <w:rsid w:val="7F370E72"/>
    <w:rsid w:val="EA5F59E2"/>
    <w:rsid w:val="FCF7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eastAsia="楷体_GB2312"/>
    </w:rPr>
  </w:style>
  <w:style w:type="paragraph" w:styleId="5">
    <w:name w:val="heading 4"/>
    <w:basedOn w:val="1"/>
    <w:next w:val="1"/>
    <w:link w:val="12"/>
    <w:unhideWhenUsed/>
    <w:qFormat/>
    <w:uiPriority w:val="0"/>
    <w:pPr>
      <w:keepNext/>
      <w:keepLines/>
      <w:outlineLvl w:val="3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character" w:customStyle="1" w:styleId="12">
    <w:name w:val="标题 4 字符"/>
    <w:link w:val="5"/>
    <w:qFormat/>
    <w:uiPriority w:val="0"/>
    <w:rPr>
      <w:rFonts w:ascii="Times New Roman" w:hAnsi="Times New Roman" w:eastAsia="仿宋_GB2312"/>
      <w:b/>
    </w:rPr>
  </w:style>
  <w:style w:type="paragraph" w:customStyle="1" w:styleId="13">
    <w:name w:val="标准文件_一级无标题"/>
    <w:basedOn w:val="14"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4">
    <w:name w:val="标准文件_一级条标题"/>
    <w:basedOn w:val="15"/>
    <w:next w:val="16"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5">
    <w:name w:val="标准文件_章标题"/>
    <w:next w:val="16"/>
    <w:qFormat/>
    <w:uiPriority w:val="0"/>
    <w:pPr>
      <w:numPr>
        <w:ilvl w:val="1"/>
        <w:numId w:val="1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6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12290</Words>
  <Characters>12874</Characters>
  <Lines>98</Lines>
  <Paragraphs>27</Paragraphs>
  <TotalTime>2</TotalTime>
  <ScaleCrop>false</ScaleCrop>
  <LinksUpToDate>false</LinksUpToDate>
  <CharactersWithSpaces>13012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2025-12-06T02:45:00Z</dcterms:created>
  <dc:creator>MI</dc:creator>
  <cp:lastModifiedBy>mengdexing</cp:lastModifiedBy>
  <dcterms:modified xsi:type="dcterms:W3CDTF">2025-12-26T18:30:17Z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ABEA0E0BDF864045A159D1EAB1996C90_13</vt:lpwstr>
  </property>
  <property fmtid="{D5CDD505-2E9C-101B-9397-08002B2CF9AE}" pid="4" name="KSOTemplateDocerSaveRecord">
    <vt:lpwstr>eyJoZGlkIjoiNDQxMzBiZjc5ZTJmNjY3N2ExYmUwNDg3MjM2OGIzZDgiLCJ1c2VySWQiOiI4Mjk3MTMzOTAifQ==</vt:lpwstr>
  </property>
</Properties>
</file>