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widowControl/>
        <w:spacing w:line="560" w:lineRule="exact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XX区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不可移动抗战文物专项调查报告</w:t>
      </w:r>
    </w:p>
    <w:p>
      <w:pPr>
        <w:rPr>
          <w:rFonts w:hint="eastAsia"/>
          <w:lang w:eastAsia="zh-CN"/>
        </w:rPr>
      </w:pPr>
    </w:p>
    <w:p>
      <w:pPr>
        <w:widowControl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  <w:lang w:eastAsia="zh-CN"/>
        </w:rPr>
      </w:pPr>
    </w:p>
    <w:p>
      <w:pPr>
        <w:widowControl/>
        <w:spacing w:line="560" w:lineRule="exact"/>
        <w:ind w:firstLine="640" w:firstLineChars="200"/>
        <w:textAlignment w:val="baseline"/>
        <w:outlineLvl w:val="1"/>
        <w:rPr>
          <w:rFonts w:hint="eastAsia" w:ascii="黑体" w:hAnsi="黑体" w:eastAsia="黑体" w:cs="Times New Roman"/>
          <w:color w:val="000000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u w:val="none" w:color="000000"/>
          <w:lang w:val="en-US" w:eastAsia="zh-CN"/>
        </w:rPr>
        <w:t>一、资源总量</w:t>
      </w:r>
    </w:p>
    <w:p>
      <w:pPr>
        <w:widowControl/>
        <w:spacing w:line="56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none" w:color="00000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 w:color="000000"/>
          <w:lang w:val="en-US" w:eastAsia="zh-CN"/>
        </w:rPr>
        <w:t>以区为基本单元，分别统计各级各类不可移动抗战文物、依托抗战文物建设的主题纪念馆（含陈列馆）、抗战相关遗址遗迹数量。</w:t>
      </w:r>
    </w:p>
    <w:p>
      <w:pPr>
        <w:widowControl/>
        <w:spacing w:line="560" w:lineRule="exact"/>
        <w:ind w:firstLine="640" w:firstLineChars="200"/>
        <w:textAlignment w:val="baseline"/>
        <w:outlineLvl w:val="1"/>
        <w:rPr>
          <w:rFonts w:hint="eastAsia" w:ascii="黑体" w:hAnsi="黑体" w:eastAsia="黑体" w:cs="Times New Roman"/>
          <w:color w:val="000000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u w:val="none" w:color="000000"/>
          <w:lang w:val="en-US" w:eastAsia="zh-CN"/>
        </w:rPr>
        <w:t>二、保护情况</w:t>
      </w:r>
    </w:p>
    <w:p>
      <w:pPr>
        <w:widowControl/>
        <w:spacing w:line="560" w:lineRule="exact"/>
        <w:ind w:firstLine="640" w:firstLineChars="200"/>
        <w:textAlignment w:val="baseline"/>
        <w:outlineLvl w:val="2"/>
        <w:rPr>
          <w:rFonts w:hint="eastAsia" w:ascii="楷体" w:hAnsi="楷体" w:eastAsia="楷体" w:cs="Times New Roman"/>
          <w:color w:val="000000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楷体" w:hAnsi="楷体" w:eastAsia="楷体" w:cs="Times New Roman"/>
          <w:color w:val="000000"/>
          <w:kern w:val="0"/>
          <w:sz w:val="32"/>
          <w:szCs w:val="32"/>
          <w:u w:val="none" w:color="000000"/>
          <w:lang w:val="en-US" w:eastAsia="zh-CN"/>
        </w:rPr>
        <w:t>（一）保存现状</w:t>
      </w:r>
    </w:p>
    <w:p>
      <w:pPr>
        <w:widowControl/>
        <w:spacing w:line="56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none" w:color="00000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 w:color="000000"/>
          <w:lang w:val="en-US" w:eastAsia="zh-CN"/>
        </w:rPr>
        <w:t>保存现状，原则上可分为三个等级，即保存状态良好；保存状态一般，本体轻微损害，周边有影响文物保存状态的杂树杂草、病虫害等，文物保护标识不清、文物周边环境较差；保存状态差，存在大木梁架、承重墙体及基础等建筑承重结构失稳，或屋面、墙体等维合结构出现坍塌、严重变形等危及文物本体安全等。</w:t>
      </w:r>
    </w:p>
    <w:p>
      <w:pPr>
        <w:widowControl/>
        <w:spacing w:line="560" w:lineRule="exact"/>
        <w:ind w:firstLine="640" w:firstLineChars="200"/>
        <w:textAlignment w:val="baseline"/>
        <w:outlineLvl w:val="2"/>
        <w:rPr>
          <w:rFonts w:hint="eastAsia" w:ascii="楷体" w:hAnsi="楷体" w:eastAsia="楷体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楷体" w:hAnsi="楷体" w:eastAsia="楷体" w:cs="Times New Roman"/>
          <w:color w:val="000000"/>
          <w:kern w:val="0"/>
          <w:sz w:val="32"/>
          <w:szCs w:val="32"/>
          <w:u w:val="none" w:color="000000"/>
          <w:lang w:eastAsia="zh-CN"/>
        </w:rPr>
        <w:t>（二）</w:t>
      </w:r>
      <w:r>
        <w:rPr>
          <w:rFonts w:hint="eastAsia" w:ascii="楷体" w:hAnsi="楷体" w:eastAsia="楷体" w:cs="Times New Roman"/>
          <w:color w:val="000000"/>
          <w:kern w:val="0"/>
          <w:sz w:val="32"/>
          <w:szCs w:val="32"/>
          <w:u w:val="none" w:color="000000"/>
        </w:rPr>
        <w:t>管理情况</w:t>
      </w:r>
    </w:p>
    <w:p>
      <w:pPr>
        <w:widowControl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</w:rPr>
        <w:t>（1）保护级别数量统计</w:t>
      </w:r>
    </w:p>
    <w:p>
      <w:pPr>
        <w:widowControl/>
        <w:spacing w:line="56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none" w:color="00000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 w:color="000000"/>
          <w:lang w:val="en-US" w:eastAsia="zh-CN"/>
        </w:rPr>
        <w:t>分别统计不可移动抗战文物保护级别数量，即全国重点文物保护单位、市级文物保护单位、区级文物保护单位、尚未核定公布为文物保护单位不可移动文物的数量。</w:t>
      </w:r>
    </w:p>
    <w:p>
      <w:pPr>
        <w:widowControl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</w:rPr>
        <w:t>管理现状</w:t>
      </w:r>
    </w:p>
    <w:p>
      <w:pPr>
        <w:widowControl/>
        <w:spacing w:line="56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none" w:color="00000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 w:color="000000"/>
          <w:lang w:val="en-US" w:eastAsia="zh-CN"/>
        </w:rPr>
        <w:t>分别统计不可移动抗战文物、依托抗战文物建设的主题纪念馆（含陈列馆）、抗战相关遗址遗迹，已有保护机构的和尚无保护机构的情况。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56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 w:color="000000"/>
          <w:lang w:val="en-US" w:eastAsia="zh-CN"/>
        </w:rPr>
        <w:t>开放利用情况</w:t>
      </w:r>
    </w:p>
    <w:p>
      <w:pPr>
        <w:widowControl/>
        <w:numPr>
          <w:ilvl w:val="0"/>
          <w:numId w:val="0"/>
        </w:numPr>
        <w:spacing w:line="560" w:lineRule="exact"/>
        <w:ind w:firstLine="562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none" w:color="00000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 w:color="000000"/>
          <w:lang w:val="en-US" w:eastAsia="zh-CN"/>
        </w:rPr>
        <w:t>分别统计不可移动抗战文物、依托抗战文物建设的主题纪念馆（含陈列馆）、抗战相关遗址遗迹，已开放和尚未开放的情况。</w:t>
      </w:r>
    </w:p>
    <w:p>
      <w:pPr>
        <w:widowControl/>
        <w:spacing w:line="560" w:lineRule="exact"/>
        <w:ind w:firstLine="640" w:firstLineChars="200"/>
        <w:textAlignment w:val="baseline"/>
        <w:outlineLvl w:val="1"/>
        <w:rPr>
          <w:rFonts w:ascii="黑体" w:hAnsi="黑体" w:eastAsia="黑体" w:cs="Times New Roman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u w:val="none" w:color="000000"/>
          <w:lang w:eastAsia="zh-CN"/>
        </w:rPr>
        <w:t>三、保护利用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u w:val="none" w:color="000000"/>
        </w:rPr>
        <w:t>现状分析</w:t>
      </w:r>
    </w:p>
    <w:p>
      <w:pPr>
        <w:widowControl/>
        <w:spacing w:line="56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u w:val="none" w:color="00000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 w:color="000000"/>
          <w:lang w:val="en-US" w:eastAsia="zh-CN"/>
        </w:rPr>
        <w:t>对本行政区域内的不可移动抗战文物的保存状况、保护管理、展示利用情况等进行分析，梳理工作进展和成绩，分析存在的困难与问题，明确下一步工作安排，并就提升不可移动抗战文物保护研究利用水平提出意见、建议。</w:t>
      </w:r>
    </w:p>
    <w:p>
      <w:pPr>
        <w:widowControl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  <w:lang w:eastAsia="zh-CN"/>
        </w:rPr>
      </w:pPr>
    </w:p>
    <w:p>
      <w:pPr>
        <w:widowControl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 w:color="00000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3276E"/>
    <w:multiLevelType w:val="singleLevel"/>
    <w:tmpl w:val="7D33276E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BC9C5F"/>
    <w:rsid w:val="37EF39E8"/>
    <w:rsid w:val="BFBA42A4"/>
    <w:rsid w:val="E7FF109E"/>
    <w:rsid w:val="FCBC9C5F"/>
    <w:rsid w:val="FF393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2022-10-13T13:25:00Z</dcterms:created>
  <dc:creator>sixiaoru</dc:creator>
  <cp:lastModifiedBy>admin</cp:lastModifiedBy>
  <cp:lastPrinted>2024-07-17T22:38:00Z</cp:lastPrinted>
  <dcterms:modified xsi:type="dcterms:W3CDTF">2024-07-19T14:58:14Z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7A0EC39134C2BD9F860E9A66D688443C</vt:lpwstr>
  </property>
</Properties>
</file>