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rPr>
          <w:rFonts w:ascii="方正小标宋简体" w:hAnsi="方正小标宋简体"/>
          <w:sz w:val="44"/>
          <w:szCs w:val="44"/>
        </w:rPr>
      </w:pPr>
      <w:bookmarkStart w:id="123" w:name="_GoBack"/>
      <w:bookmarkEnd w:id="123"/>
    </w:p>
    <w:p>
      <w:pPr>
        <w:ind w:firstLine="880"/>
        <w:rPr>
          <w:rFonts w:ascii="方正小标宋简体" w:hAnsi="方正小标宋简体"/>
          <w:sz w:val="44"/>
          <w:szCs w:val="44"/>
        </w:rPr>
      </w:pPr>
      <w:r>
        <w:rPr>
          <w:rFonts w:ascii="方正小标宋简体" w:hAnsi="方正小标宋简体"/>
          <w:sz w:val="44"/>
          <w:szCs w:val="44"/>
        </w:rPr>
        <w:t xml:space="preserve">  </w:t>
      </w:r>
    </w:p>
    <w:p>
      <w:pPr>
        <w:ind w:firstLine="1008"/>
        <w:jc w:val="center"/>
        <w:rPr>
          <w:rStyle w:val="18"/>
        </w:rPr>
      </w:pPr>
    </w:p>
    <w:p>
      <w:pPr>
        <w:ind w:firstLine="1008"/>
        <w:jc w:val="center"/>
        <w:rPr>
          <w:rStyle w:val="18"/>
        </w:rPr>
      </w:pPr>
    </w:p>
    <w:p>
      <w:pPr>
        <w:adjustRightInd w:val="0"/>
        <w:snapToGrid w:val="0"/>
        <w:ind w:firstLine="0" w:firstLineChars="0"/>
        <w:rPr>
          <w:rFonts w:ascii="方正小标宋简体" w:hAnsi="方正小标宋简体" w:eastAsia="方正小标宋简体" w:cs="方正小标宋简体"/>
          <w:sz w:val="48"/>
          <w:szCs w:val="48"/>
        </w:rPr>
      </w:pPr>
      <w:r>
        <w:rPr>
          <w:rStyle w:val="18"/>
          <w:rFonts w:hint="eastAsia"/>
        </w:rPr>
        <w:t>北京市“十四五”时期文物博物馆</w:t>
      </w:r>
      <w:r>
        <w:rPr>
          <w:rFonts w:hint="eastAsia" w:ascii="方正小标宋简体" w:hAnsi="方正小标宋简体" w:eastAsia="方正小标宋简体" w:cs="方正小标宋简体"/>
          <w:sz w:val="48"/>
          <w:szCs w:val="48"/>
        </w:rPr>
        <w:t>事业</w:t>
      </w:r>
    </w:p>
    <w:p>
      <w:pPr>
        <w:adjustRightInd w:val="0"/>
        <w:snapToGrid w:val="0"/>
        <w:ind w:firstLine="0" w:firstLineChars="0"/>
        <w:jc w:val="center"/>
        <w:rPr>
          <w:rFonts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rPr>
        <w:t>发展规划</w:t>
      </w:r>
    </w:p>
    <w:p>
      <w:pPr>
        <w:ind w:firstLine="0" w:firstLineChars="0"/>
        <w:jc w:val="center"/>
        <w:rPr>
          <w:rFonts w:ascii="仿宋_GB2312"/>
          <w:sz w:val="36"/>
          <w:szCs w:val="36"/>
        </w:rPr>
      </w:pPr>
      <w:r>
        <w:rPr>
          <w:rFonts w:hint="eastAsia" w:ascii="仿宋_GB2312"/>
          <w:sz w:val="36"/>
          <w:szCs w:val="36"/>
        </w:rPr>
        <w:t xml:space="preserve"> </w:t>
      </w:r>
    </w:p>
    <w:p>
      <w:pPr>
        <w:ind w:firstLine="0" w:firstLineChars="0"/>
        <w:jc w:val="center"/>
        <w:rPr>
          <w:rFonts w:ascii="仿宋_GB2312"/>
          <w:sz w:val="36"/>
          <w:szCs w:val="36"/>
        </w:rPr>
      </w:pPr>
      <w:r>
        <w:rPr>
          <w:rFonts w:hint="eastAsia" w:ascii="仿宋_GB2312"/>
          <w:sz w:val="36"/>
          <w:szCs w:val="36"/>
        </w:rPr>
        <w:t xml:space="preserve"> </w:t>
      </w:r>
    </w:p>
    <w:p>
      <w:pPr>
        <w:ind w:firstLine="0" w:firstLineChars="0"/>
        <w:jc w:val="center"/>
        <w:rPr>
          <w:rFonts w:ascii="仿宋_GB2312"/>
          <w:sz w:val="36"/>
          <w:szCs w:val="36"/>
        </w:rPr>
      </w:pPr>
      <w:r>
        <w:rPr>
          <w:rFonts w:hint="eastAsia" w:ascii="仿宋_GB2312"/>
          <w:sz w:val="36"/>
          <w:szCs w:val="36"/>
        </w:rPr>
        <w:t xml:space="preserve"> </w:t>
      </w:r>
    </w:p>
    <w:p>
      <w:pPr>
        <w:ind w:firstLine="0" w:firstLineChars="0"/>
        <w:jc w:val="center"/>
        <w:rPr>
          <w:rFonts w:ascii="楷体" w:hAnsi="楷体" w:eastAsia="楷体"/>
          <w:sz w:val="36"/>
          <w:szCs w:val="36"/>
        </w:rPr>
      </w:pPr>
      <w:r>
        <w:rPr>
          <w:rFonts w:hint="eastAsia" w:ascii="楷体" w:hAnsi="楷体" w:eastAsia="楷体"/>
          <w:sz w:val="36"/>
          <w:szCs w:val="36"/>
        </w:rPr>
        <w:t xml:space="preserve"> </w:t>
      </w:r>
    </w:p>
    <w:p>
      <w:pPr>
        <w:ind w:firstLine="0" w:firstLineChars="0"/>
        <w:jc w:val="center"/>
        <w:rPr>
          <w:rFonts w:ascii="楷体" w:hAnsi="楷体" w:eastAsia="楷体"/>
          <w:sz w:val="36"/>
          <w:szCs w:val="36"/>
        </w:rPr>
      </w:pPr>
      <w:r>
        <w:rPr>
          <w:rFonts w:hint="eastAsia" w:ascii="楷体" w:hAnsi="楷体" w:eastAsia="楷体"/>
          <w:sz w:val="36"/>
          <w:szCs w:val="36"/>
        </w:rPr>
        <w:t xml:space="preserve"> </w:t>
      </w:r>
    </w:p>
    <w:p>
      <w:pPr>
        <w:ind w:firstLine="0" w:firstLineChars="0"/>
        <w:jc w:val="center"/>
        <w:rPr>
          <w:rFonts w:ascii="楷体" w:hAnsi="楷体" w:eastAsia="楷体"/>
          <w:sz w:val="36"/>
          <w:szCs w:val="36"/>
        </w:rPr>
      </w:pPr>
      <w:r>
        <w:rPr>
          <w:rFonts w:hint="eastAsia" w:ascii="楷体" w:hAnsi="楷体" w:eastAsia="楷体"/>
          <w:sz w:val="36"/>
          <w:szCs w:val="36"/>
        </w:rPr>
        <w:t xml:space="preserve"> </w:t>
      </w:r>
    </w:p>
    <w:p>
      <w:pPr>
        <w:ind w:firstLine="0" w:firstLineChars="0"/>
        <w:jc w:val="center"/>
        <w:rPr>
          <w:rFonts w:ascii="楷体" w:hAnsi="楷体" w:eastAsia="楷体"/>
          <w:sz w:val="36"/>
          <w:szCs w:val="36"/>
        </w:rPr>
      </w:pPr>
      <w:r>
        <w:rPr>
          <w:rFonts w:hint="eastAsia" w:ascii="楷体" w:hAnsi="楷体" w:eastAsia="楷体"/>
          <w:sz w:val="36"/>
          <w:szCs w:val="36"/>
        </w:rPr>
        <w:t xml:space="preserve"> </w:t>
      </w:r>
    </w:p>
    <w:p>
      <w:pPr>
        <w:ind w:firstLine="0" w:firstLineChars="0"/>
        <w:jc w:val="center"/>
        <w:rPr>
          <w:rFonts w:ascii="楷体" w:hAnsi="楷体" w:eastAsia="楷体"/>
          <w:sz w:val="36"/>
          <w:szCs w:val="36"/>
        </w:rPr>
      </w:pPr>
      <w:r>
        <w:rPr>
          <w:rFonts w:hint="eastAsia" w:ascii="楷体" w:hAnsi="楷体" w:eastAsia="楷体"/>
          <w:sz w:val="36"/>
          <w:szCs w:val="36"/>
        </w:rPr>
        <w:t xml:space="preserve"> </w:t>
      </w:r>
    </w:p>
    <w:p>
      <w:pPr>
        <w:ind w:firstLine="0" w:firstLineChars="0"/>
        <w:jc w:val="center"/>
        <w:rPr>
          <w:rFonts w:ascii="楷体" w:hAnsi="楷体" w:eastAsia="楷体"/>
          <w:sz w:val="36"/>
          <w:szCs w:val="36"/>
        </w:rPr>
      </w:pPr>
      <w:r>
        <w:rPr>
          <w:rFonts w:hint="eastAsia" w:ascii="楷体" w:hAnsi="楷体" w:eastAsia="楷体"/>
          <w:sz w:val="36"/>
          <w:szCs w:val="36"/>
        </w:rPr>
        <w:t xml:space="preserve"> </w:t>
      </w:r>
    </w:p>
    <w:p>
      <w:pPr>
        <w:ind w:firstLine="0" w:firstLineChars="0"/>
        <w:jc w:val="center"/>
        <w:rPr>
          <w:rFonts w:ascii="楷体" w:hAnsi="楷体" w:eastAsia="楷体"/>
          <w:sz w:val="36"/>
          <w:szCs w:val="36"/>
        </w:rPr>
      </w:pPr>
      <w:r>
        <w:rPr>
          <w:rFonts w:hint="eastAsia" w:ascii="楷体" w:hAnsi="楷体" w:eastAsia="楷体"/>
          <w:sz w:val="36"/>
          <w:szCs w:val="36"/>
        </w:rPr>
        <w:t xml:space="preserve"> </w:t>
      </w:r>
    </w:p>
    <w:p>
      <w:pPr>
        <w:ind w:firstLine="0" w:firstLineChars="0"/>
        <w:jc w:val="center"/>
        <w:rPr>
          <w:rFonts w:ascii="楷体" w:hAnsi="楷体" w:eastAsia="楷体"/>
          <w:sz w:val="36"/>
          <w:szCs w:val="36"/>
        </w:rPr>
      </w:pPr>
    </w:p>
    <w:p>
      <w:pPr>
        <w:pStyle w:val="2"/>
        <w:rPr>
          <w:rFonts w:ascii="楷体" w:hAnsi="楷体" w:eastAsia="楷体"/>
          <w:sz w:val="36"/>
          <w:szCs w:val="36"/>
        </w:rPr>
      </w:pPr>
    </w:p>
    <w:p>
      <w:pPr>
        <w:pStyle w:val="3"/>
      </w:pPr>
    </w:p>
    <w:p>
      <w:pPr>
        <w:ind w:firstLine="0" w:firstLineChars="0"/>
        <w:rPr>
          <w:rFonts w:hint="eastAsia" w:ascii="楷体" w:hAnsi="楷体" w:eastAsia="楷体"/>
          <w:sz w:val="36"/>
          <w:szCs w:val="36"/>
        </w:rPr>
      </w:pPr>
      <w:r>
        <w:rPr>
          <w:rFonts w:hint="eastAsia" w:ascii="楷体" w:hAnsi="楷体" w:eastAsia="楷体"/>
          <w:sz w:val="36"/>
          <w:szCs w:val="36"/>
        </w:rPr>
        <w:t xml:space="preserve"> </w:t>
      </w:r>
    </w:p>
    <w:p>
      <w:pPr>
        <w:pStyle w:val="2"/>
      </w:pPr>
    </w:p>
    <w:p>
      <w:pPr>
        <w:ind w:firstLine="0" w:firstLineChars="0"/>
        <w:jc w:val="center"/>
        <w:rPr>
          <w:rFonts w:ascii="楷体" w:hAnsi="楷体" w:eastAsia="楷体"/>
          <w:sz w:val="36"/>
          <w:szCs w:val="36"/>
        </w:rPr>
      </w:pPr>
      <w:r>
        <w:rPr>
          <w:rFonts w:hint="eastAsia" w:ascii="楷体" w:hAnsi="楷体" w:eastAsia="楷体"/>
          <w:sz w:val="36"/>
          <w:szCs w:val="36"/>
        </w:rPr>
        <w:t>北京市文物局 编</w:t>
      </w:r>
    </w:p>
    <w:p>
      <w:pPr>
        <w:ind w:firstLine="0" w:firstLineChars="0"/>
        <w:jc w:val="center"/>
        <w:sectPr>
          <w:headerReference r:id="rId5" w:type="default"/>
          <w:footerReference r:id="rId6" w:type="default"/>
          <w:pgSz w:w="11906" w:h="16838"/>
          <w:pgMar w:top="1440" w:right="1800" w:bottom="1440" w:left="1800" w:header="851" w:footer="992" w:gutter="0"/>
          <w:pgNumType w:fmt="numberInDash" w:start="0"/>
          <w:cols w:space="720" w:num="1"/>
          <w:docGrid w:type="lines" w:linePitch="312" w:charSpace="0"/>
        </w:sectPr>
      </w:pPr>
      <w:r>
        <w:rPr>
          <w:rFonts w:hint="eastAsia" w:ascii="楷体_GB2312" w:hAnsi="楷体_GB2312" w:eastAsia="楷体_GB2312" w:cs="楷体_GB2312"/>
          <w:sz w:val="36"/>
          <w:szCs w:val="36"/>
        </w:rPr>
        <w:t>202</w:t>
      </w:r>
      <w:bookmarkStart w:id="0" w:name="_Toc76742737"/>
      <w:bookmarkEnd w:id="0"/>
      <w:r>
        <w:rPr>
          <w:rFonts w:hint="eastAsia" w:ascii="楷体_GB2312" w:hAnsi="楷体_GB2312" w:eastAsia="楷体_GB2312" w:cs="楷体_GB2312"/>
          <w:sz w:val="36"/>
          <w:szCs w:val="36"/>
          <w:lang w:val="en-US" w:eastAsia="zh-CN"/>
        </w:rPr>
        <w:t>1年11月</w:t>
      </w:r>
    </w:p>
    <w:p>
      <w:pPr>
        <w:pStyle w:val="5"/>
        <w:bidi w:val="0"/>
        <w:jc w:val="center"/>
      </w:pPr>
      <w:bookmarkStart w:id="1" w:name="_Toc1033555847_WPSOffice_Type2"/>
      <w:r>
        <w:t>目</w:t>
      </w:r>
      <w:r>
        <w:rPr>
          <w:rFonts w:hint="eastAsia"/>
          <w:lang w:val="en-US" w:eastAsia="zh-CN"/>
        </w:rPr>
        <w:t xml:space="preserve">    </w:t>
      </w:r>
      <w:r>
        <w:t>录</w:t>
      </w:r>
    </w:p>
    <w:p>
      <w:pPr>
        <w:pStyle w:val="21"/>
        <w:pageBreakBefore w:val="0"/>
        <w:tabs>
          <w:tab w:val="right" w:leader="dot" w:pos="8306"/>
        </w:tabs>
        <w:kinsoku/>
        <w:wordWrap/>
        <w:overflowPunct/>
        <w:topLinePunct w:val="0"/>
        <w:autoSpaceDE/>
        <w:autoSpaceDN/>
        <w:bidi w:val="0"/>
        <w:adjustRightInd/>
        <w:snapToGrid/>
        <w:spacing w:line="540" w:lineRule="exact"/>
        <w:textAlignment w:val="auto"/>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fldChar w:fldCharType="begin"/>
      </w:r>
      <w:r>
        <w:rPr>
          <w:rFonts w:hint="default" w:ascii="Times New Roman" w:hAnsi="Times New Roman" w:cs="Times New Roman"/>
          <w:b w:val="0"/>
          <w:bCs w:val="0"/>
          <w:sz w:val="28"/>
          <w:szCs w:val="28"/>
        </w:rPr>
        <w:instrText xml:space="preserve"> HYPERLINK \l _Toc218626759_WPSOffice_Level1 </w:instrText>
      </w:r>
      <w:r>
        <w:rPr>
          <w:rFonts w:hint="default" w:ascii="Times New Roman" w:hAnsi="Times New Roman" w:cs="Times New Roman"/>
          <w:b w:val="0"/>
          <w:bCs w:val="0"/>
          <w:sz w:val="28"/>
          <w:szCs w:val="28"/>
        </w:rPr>
        <w:fldChar w:fldCharType="separate"/>
      </w:r>
      <w:r>
        <w:rPr>
          <w:rFonts w:hint="default" w:ascii="Times New Roman" w:hAnsi="Times New Roman" w:eastAsia="经典黑体简" w:cs="Times New Roman"/>
          <w:b w:val="0"/>
          <w:bCs w:val="0"/>
          <w:sz w:val="28"/>
          <w:szCs w:val="28"/>
        </w:rPr>
        <w:t>一、前言</w:t>
      </w:r>
      <w:r>
        <w:rPr>
          <w:rFonts w:hint="default" w:ascii="Times New Roman" w:hAnsi="Times New Roman" w:cs="Times New Roman"/>
          <w:b w:val="0"/>
          <w:bCs w:val="0"/>
          <w:sz w:val="28"/>
          <w:szCs w:val="28"/>
        </w:rPr>
        <w:tab/>
      </w:r>
      <w:bookmarkStart w:id="2" w:name="_Toc218626759_WPSOffice_Level1Page"/>
      <w:r>
        <w:rPr>
          <w:rFonts w:hint="default" w:ascii="Times New Roman" w:hAnsi="Times New Roman" w:cs="Times New Roman"/>
          <w:b w:val="0"/>
          <w:bCs w:val="0"/>
          <w:sz w:val="28"/>
          <w:szCs w:val="28"/>
        </w:rPr>
        <w:t>1</w:t>
      </w:r>
      <w:bookmarkEnd w:id="2"/>
      <w:r>
        <w:rPr>
          <w:rFonts w:hint="default" w:ascii="Times New Roman" w:hAnsi="Times New Roman" w:cs="Times New Roman"/>
          <w:b w:val="0"/>
          <w:bCs w:val="0"/>
          <w:sz w:val="28"/>
          <w:szCs w:val="28"/>
        </w:rPr>
        <w:fldChar w:fldCharType="end"/>
      </w:r>
    </w:p>
    <w:p>
      <w:pPr>
        <w:pStyle w:val="21"/>
        <w:pageBreakBefore w:val="0"/>
        <w:tabs>
          <w:tab w:val="right" w:leader="dot" w:pos="8306"/>
        </w:tabs>
        <w:kinsoku/>
        <w:wordWrap/>
        <w:overflowPunct/>
        <w:topLinePunct w:val="0"/>
        <w:autoSpaceDE/>
        <w:autoSpaceDN/>
        <w:bidi w:val="0"/>
        <w:adjustRightInd/>
        <w:snapToGrid/>
        <w:spacing w:line="540" w:lineRule="exact"/>
        <w:textAlignment w:val="auto"/>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fldChar w:fldCharType="begin"/>
      </w:r>
      <w:r>
        <w:rPr>
          <w:rFonts w:hint="default" w:ascii="Times New Roman" w:hAnsi="Times New Roman" w:cs="Times New Roman"/>
          <w:b w:val="0"/>
          <w:bCs w:val="0"/>
          <w:sz w:val="28"/>
          <w:szCs w:val="28"/>
        </w:rPr>
        <w:instrText xml:space="preserve"> HYPERLINK \l _Toc649828375_WPSOffice_Level1 </w:instrText>
      </w:r>
      <w:r>
        <w:rPr>
          <w:rFonts w:hint="default" w:ascii="Times New Roman" w:hAnsi="Times New Roman" w:cs="Times New Roman"/>
          <w:b w:val="0"/>
          <w:bCs w:val="0"/>
          <w:sz w:val="28"/>
          <w:szCs w:val="28"/>
        </w:rPr>
        <w:fldChar w:fldCharType="separate"/>
      </w:r>
      <w:r>
        <w:rPr>
          <w:rFonts w:hint="default" w:ascii="Times New Roman" w:hAnsi="Times New Roman" w:eastAsia="经典黑体简" w:cs="Times New Roman"/>
          <w:b w:val="0"/>
          <w:bCs w:val="0"/>
          <w:sz w:val="28"/>
          <w:szCs w:val="28"/>
        </w:rPr>
        <w:t>二、规划编制依据</w:t>
      </w:r>
      <w:r>
        <w:rPr>
          <w:rFonts w:hint="default" w:ascii="Times New Roman" w:hAnsi="Times New Roman" w:cs="Times New Roman"/>
          <w:b w:val="0"/>
          <w:bCs w:val="0"/>
          <w:sz w:val="28"/>
          <w:szCs w:val="28"/>
        </w:rPr>
        <w:tab/>
      </w:r>
      <w:bookmarkStart w:id="3" w:name="_Toc649828375_WPSOffice_Level1Page"/>
      <w:r>
        <w:rPr>
          <w:rFonts w:hint="default" w:ascii="Times New Roman" w:hAnsi="Times New Roman" w:cs="Times New Roman"/>
          <w:b w:val="0"/>
          <w:bCs w:val="0"/>
          <w:sz w:val="28"/>
          <w:szCs w:val="28"/>
        </w:rPr>
        <w:t>2</w:t>
      </w:r>
      <w:bookmarkEnd w:id="3"/>
      <w:r>
        <w:rPr>
          <w:rFonts w:hint="default" w:ascii="Times New Roman" w:hAnsi="Times New Roman" w:cs="Times New Roman"/>
          <w:b w:val="0"/>
          <w:bCs w:val="0"/>
          <w:sz w:val="28"/>
          <w:szCs w:val="28"/>
        </w:rPr>
        <w:fldChar w:fldCharType="end"/>
      </w:r>
    </w:p>
    <w:p>
      <w:pPr>
        <w:pStyle w:val="21"/>
        <w:pageBreakBefore w:val="0"/>
        <w:tabs>
          <w:tab w:val="right" w:leader="dot" w:pos="8306"/>
        </w:tabs>
        <w:kinsoku/>
        <w:wordWrap/>
        <w:overflowPunct/>
        <w:topLinePunct w:val="0"/>
        <w:autoSpaceDE/>
        <w:autoSpaceDN/>
        <w:bidi w:val="0"/>
        <w:adjustRightInd/>
        <w:snapToGrid/>
        <w:spacing w:line="540" w:lineRule="exact"/>
        <w:textAlignment w:val="auto"/>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fldChar w:fldCharType="begin"/>
      </w:r>
      <w:r>
        <w:rPr>
          <w:rFonts w:hint="default" w:ascii="Times New Roman" w:hAnsi="Times New Roman" w:cs="Times New Roman"/>
          <w:b w:val="0"/>
          <w:bCs w:val="0"/>
          <w:sz w:val="28"/>
          <w:szCs w:val="28"/>
        </w:rPr>
        <w:instrText xml:space="preserve"> HYPERLINK \l _Toc1148267475_WPSOffice_Level1 </w:instrText>
      </w:r>
      <w:r>
        <w:rPr>
          <w:rFonts w:hint="default" w:ascii="Times New Roman" w:hAnsi="Times New Roman" w:cs="Times New Roman"/>
          <w:b w:val="0"/>
          <w:bCs w:val="0"/>
          <w:sz w:val="28"/>
          <w:szCs w:val="28"/>
        </w:rPr>
        <w:fldChar w:fldCharType="separate"/>
      </w:r>
      <w:r>
        <w:rPr>
          <w:rFonts w:hint="default" w:ascii="Times New Roman" w:hAnsi="Times New Roman" w:eastAsia="经典黑体简" w:cs="Times New Roman"/>
          <w:b w:val="0"/>
          <w:bCs w:val="0"/>
          <w:sz w:val="28"/>
          <w:szCs w:val="28"/>
        </w:rPr>
        <w:t>三、“十三五”时期工作成就</w:t>
      </w:r>
      <w:r>
        <w:rPr>
          <w:rFonts w:hint="default" w:ascii="Times New Roman" w:hAnsi="Times New Roman" w:cs="Times New Roman"/>
          <w:b w:val="0"/>
          <w:bCs w:val="0"/>
          <w:sz w:val="28"/>
          <w:szCs w:val="28"/>
        </w:rPr>
        <w:tab/>
      </w:r>
      <w:bookmarkStart w:id="4" w:name="_Toc1148267475_WPSOffice_Level1Page"/>
      <w:r>
        <w:rPr>
          <w:rFonts w:hint="default" w:ascii="Times New Roman" w:hAnsi="Times New Roman" w:cs="Times New Roman"/>
          <w:b w:val="0"/>
          <w:bCs w:val="0"/>
          <w:sz w:val="28"/>
          <w:szCs w:val="28"/>
        </w:rPr>
        <w:t>3</w:t>
      </w:r>
      <w:bookmarkEnd w:id="4"/>
      <w:r>
        <w:rPr>
          <w:rFonts w:hint="default" w:ascii="Times New Roman" w:hAnsi="Times New Roman" w:cs="Times New Roman"/>
          <w:b w:val="0"/>
          <w:bCs w:val="0"/>
          <w:sz w:val="28"/>
          <w:szCs w:val="28"/>
        </w:rPr>
        <w:fldChar w:fldCharType="end"/>
      </w:r>
    </w:p>
    <w:p>
      <w:pPr>
        <w:pStyle w:val="21"/>
        <w:pageBreakBefore w:val="0"/>
        <w:tabs>
          <w:tab w:val="right" w:leader="dot" w:pos="8306"/>
        </w:tabs>
        <w:kinsoku/>
        <w:wordWrap/>
        <w:overflowPunct/>
        <w:topLinePunct w:val="0"/>
        <w:autoSpaceDE/>
        <w:autoSpaceDN/>
        <w:bidi w:val="0"/>
        <w:adjustRightInd/>
        <w:snapToGrid/>
        <w:spacing w:line="540" w:lineRule="exact"/>
        <w:textAlignment w:val="auto"/>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fldChar w:fldCharType="begin"/>
      </w:r>
      <w:r>
        <w:rPr>
          <w:rFonts w:hint="default" w:ascii="Times New Roman" w:hAnsi="Times New Roman" w:cs="Times New Roman"/>
          <w:b w:val="0"/>
          <w:bCs w:val="0"/>
          <w:sz w:val="28"/>
          <w:szCs w:val="28"/>
        </w:rPr>
        <w:instrText xml:space="preserve"> HYPERLINK \l _Toc19478465_WPSOffice_Level1 </w:instrText>
      </w:r>
      <w:r>
        <w:rPr>
          <w:rFonts w:hint="default" w:ascii="Times New Roman" w:hAnsi="Times New Roman" w:cs="Times New Roman"/>
          <w:b w:val="0"/>
          <w:bCs w:val="0"/>
          <w:sz w:val="28"/>
          <w:szCs w:val="28"/>
        </w:rPr>
        <w:fldChar w:fldCharType="separate"/>
      </w:r>
      <w:r>
        <w:rPr>
          <w:rFonts w:hint="default" w:ascii="Times New Roman" w:hAnsi="Times New Roman" w:eastAsia="经典黑体简" w:cs="Times New Roman"/>
          <w:b w:val="0"/>
          <w:bCs w:val="0"/>
          <w:sz w:val="28"/>
          <w:szCs w:val="28"/>
        </w:rPr>
        <w:t>四、“十四五”时期发展形势</w:t>
      </w:r>
      <w:r>
        <w:rPr>
          <w:rFonts w:hint="default" w:ascii="Times New Roman" w:hAnsi="Times New Roman" w:cs="Times New Roman"/>
          <w:b w:val="0"/>
          <w:bCs w:val="0"/>
          <w:sz w:val="28"/>
          <w:szCs w:val="28"/>
        </w:rPr>
        <w:tab/>
      </w:r>
      <w:bookmarkStart w:id="5" w:name="_Toc19478465_WPSOffice_Level1Page"/>
      <w:r>
        <w:rPr>
          <w:rFonts w:hint="default" w:ascii="Times New Roman" w:hAnsi="Times New Roman" w:cs="Times New Roman"/>
          <w:b w:val="0"/>
          <w:bCs w:val="0"/>
          <w:sz w:val="28"/>
          <w:szCs w:val="28"/>
        </w:rPr>
        <w:t>5</w:t>
      </w:r>
      <w:bookmarkEnd w:id="5"/>
      <w:r>
        <w:rPr>
          <w:rFonts w:hint="default" w:ascii="Times New Roman" w:hAnsi="Times New Roman" w:cs="Times New Roman"/>
          <w:b w:val="0"/>
          <w:bCs w:val="0"/>
          <w:sz w:val="28"/>
          <w:szCs w:val="28"/>
        </w:rPr>
        <w:fldChar w:fldCharType="end"/>
      </w:r>
    </w:p>
    <w:p>
      <w:pPr>
        <w:pStyle w:val="21"/>
        <w:pageBreakBefore w:val="0"/>
        <w:tabs>
          <w:tab w:val="right" w:leader="dot" w:pos="8306"/>
        </w:tabs>
        <w:kinsoku/>
        <w:wordWrap/>
        <w:overflowPunct/>
        <w:topLinePunct w:val="0"/>
        <w:autoSpaceDE/>
        <w:autoSpaceDN/>
        <w:bidi w:val="0"/>
        <w:adjustRightInd/>
        <w:snapToGrid/>
        <w:spacing w:line="540" w:lineRule="exact"/>
        <w:textAlignment w:val="auto"/>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fldChar w:fldCharType="begin"/>
      </w:r>
      <w:r>
        <w:rPr>
          <w:rFonts w:hint="default" w:ascii="Times New Roman" w:hAnsi="Times New Roman" w:cs="Times New Roman"/>
          <w:b w:val="0"/>
          <w:bCs w:val="0"/>
          <w:sz w:val="28"/>
          <w:szCs w:val="28"/>
        </w:rPr>
        <w:instrText xml:space="preserve"> HYPERLINK \l _Toc627452783_WPSOffice_Level1 </w:instrText>
      </w:r>
      <w:r>
        <w:rPr>
          <w:rFonts w:hint="default" w:ascii="Times New Roman" w:hAnsi="Times New Roman" w:cs="Times New Roman"/>
          <w:b w:val="0"/>
          <w:bCs w:val="0"/>
          <w:sz w:val="28"/>
          <w:szCs w:val="28"/>
        </w:rPr>
        <w:fldChar w:fldCharType="separate"/>
      </w:r>
      <w:r>
        <w:rPr>
          <w:rFonts w:hint="default" w:ascii="Times New Roman" w:hAnsi="Times New Roman" w:eastAsia="经典黑体简" w:cs="Times New Roman"/>
          <w:b w:val="0"/>
          <w:bCs w:val="0"/>
          <w:sz w:val="28"/>
          <w:szCs w:val="28"/>
        </w:rPr>
        <w:t>五、总体要求</w:t>
      </w:r>
      <w:r>
        <w:rPr>
          <w:rFonts w:hint="default" w:ascii="Times New Roman" w:hAnsi="Times New Roman" w:cs="Times New Roman"/>
          <w:b w:val="0"/>
          <w:bCs w:val="0"/>
          <w:sz w:val="28"/>
          <w:szCs w:val="28"/>
        </w:rPr>
        <w:tab/>
      </w:r>
      <w:bookmarkStart w:id="6" w:name="_Toc627452783_WPSOffice_Level1Page"/>
      <w:r>
        <w:rPr>
          <w:rFonts w:hint="default" w:ascii="Times New Roman" w:hAnsi="Times New Roman" w:cs="Times New Roman"/>
          <w:b w:val="0"/>
          <w:bCs w:val="0"/>
          <w:sz w:val="28"/>
          <w:szCs w:val="28"/>
        </w:rPr>
        <w:t>8</w:t>
      </w:r>
      <w:bookmarkEnd w:id="6"/>
      <w:r>
        <w:rPr>
          <w:rFonts w:hint="default" w:ascii="Times New Roman" w:hAnsi="Times New Roman" w:cs="Times New Roman"/>
          <w:b w:val="0"/>
          <w:bCs w:val="0"/>
          <w:sz w:val="28"/>
          <w:szCs w:val="28"/>
        </w:rPr>
        <w:fldChar w:fldCharType="end"/>
      </w:r>
    </w:p>
    <w:p>
      <w:pPr>
        <w:pStyle w:val="22"/>
        <w:pageBreakBefore w:val="0"/>
        <w:tabs>
          <w:tab w:val="right" w:leader="dot" w:pos="8306"/>
        </w:tabs>
        <w:kinsoku/>
        <w:wordWrap/>
        <w:overflowPunct/>
        <w:topLinePunct w:val="0"/>
        <w:autoSpaceDE/>
        <w:autoSpaceDN/>
        <w:bidi w:val="0"/>
        <w:adjustRightInd/>
        <w:snapToGrid/>
        <w:spacing w:line="540" w:lineRule="exact"/>
        <w:textAlignment w:val="auto"/>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fldChar w:fldCharType="begin"/>
      </w:r>
      <w:r>
        <w:rPr>
          <w:rFonts w:hint="default" w:ascii="Times New Roman" w:hAnsi="Times New Roman" w:cs="Times New Roman"/>
          <w:b w:val="0"/>
          <w:bCs w:val="0"/>
          <w:sz w:val="28"/>
          <w:szCs w:val="28"/>
        </w:rPr>
        <w:instrText xml:space="preserve"> HYPERLINK \l _Toc541541198_WPSOffice_Level2 </w:instrText>
      </w:r>
      <w:r>
        <w:rPr>
          <w:rFonts w:hint="default" w:ascii="Times New Roman" w:hAnsi="Times New Roman" w:cs="Times New Roman"/>
          <w:b w:val="0"/>
          <w:bCs w:val="0"/>
          <w:sz w:val="28"/>
          <w:szCs w:val="28"/>
        </w:rPr>
        <w:fldChar w:fldCharType="separate"/>
      </w:r>
      <w:r>
        <w:rPr>
          <w:rFonts w:hint="default" w:ascii="Times New Roman" w:hAnsi="Times New Roman" w:eastAsia="楷体_GB2312" w:cs="Times New Roman"/>
          <w:b w:val="0"/>
          <w:bCs w:val="0"/>
          <w:sz w:val="28"/>
          <w:szCs w:val="28"/>
        </w:rPr>
        <w:t>（一）指导思想</w:t>
      </w:r>
      <w:r>
        <w:rPr>
          <w:rFonts w:hint="default" w:ascii="Times New Roman" w:hAnsi="Times New Roman" w:cs="Times New Roman"/>
          <w:b w:val="0"/>
          <w:bCs w:val="0"/>
          <w:sz w:val="28"/>
          <w:szCs w:val="28"/>
        </w:rPr>
        <w:tab/>
      </w:r>
      <w:bookmarkStart w:id="7" w:name="_Toc541541198_WPSOffice_Level2Page"/>
      <w:r>
        <w:rPr>
          <w:rFonts w:hint="default" w:ascii="Times New Roman" w:hAnsi="Times New Roman" w:cs="Times New Roman"/>
          <w:b w:val="0"/>
          <w:bCs w:val="0"/>
          <w:sz w:val="28"/>
          <w:szCs w:val="28"/>
        </w:rPr>
        <w:t>8</w:t>
      </w:r>
      <w:bookmarkEnd w:id="7"/>
      <w:r>
        <w:rPr>
          <w:rFonts w:hint="default" w:ascii="Times New Roman" w:hAnsi="Times New Roman" w:cs="Times New Roman"/>
          <w:b w:val="0"/>
          <w:bCs w:val="0"/>
          <w:sz w:val="28"/>
          <w:szCs w:val="28"/>
        </w:rPr>
        <w:fldChar w:fldCharType="end"/>
      </w:r>
    </w:p>
    <w:p>
      <w:pPr>
        <w:pStyle w:val="22"/>
        <w:pageBreakBefore w:val="0"/>
        <w:tabs>
          <w:tab w:val="right" w:leader="dot" w:pos="8306"/>
        </w:tabs>
        <w:kinsoku/>
        <w:wordWrap/>
        <w:overflowPunct/>
        <w:topLinePunct w:val="0"/>
        <w:autoSpaceDE/>
        <w:autoSpaceDN/>
        <w:bidi w:val="0"/>
        <w:adjustRightInd/>
        <w:snapToGrid/>
        <w:spacing w:line="540" w:lineRule="exact"/>
        <w:textAlignment w:val="auto"/>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fldChar w:fldCharType="begin"/>
      </w:r>
      <w:r>
        <w:rPr>
          <w:rFonts w:hint="default" w:ascii="Times New Roman" w:hAnsi="Times New Roman" w:cs="Times New Roman"/>
          <w:b w:val="0"/>
          <w:bCs w:val="0"/>
          <w:sz w:val="28"/>
          <w:szCs w:val="28"/>
        </w:rPr>
        <w:instrText xml:space="preserve"> HYPERLINK \l _Toc2144560121_WPSOffice_Level2 </w:instrText>
      </w:r>
      <w:r>
        <w:rPr>
          <w:rFonts w:hint="default" w:ascii="Times New Roman" w:hAnsi="Times New Roman" w:cs="Times New Roman"/>
          <w:b w:val="0"/>
          <w:bCs w:val="0"/>
          <w:sz w:val="28"/>
          <w:szCs w:val="28"/>
        </w:rPr>
        <w:fldChar w:fldCharType="separate"/>
      </w:r>
      <w:r>
        <w:rPr>
          <w:rFonts w:hint="default" w:ascii="Times New Roman" w:hAnsi="Times New Roman" w:eastAsia="楷体_GB2312" w:cs="Times New Roman"/>
          <w:b w:val="0"/>
          <w:bCs w:val="0"/>
          <w:sz w:val="28"/>
          <w:szCs w:val="28"/>
        </w:rPr>
        <w:t>（二）基本原则</w:t>
      </w:r>
      <w:r>
        <w:rPr>
          <w:rFonts w:hint="default" w:ascii="Times New Roman" w:hAnsi="Times New Roman" w:cs="Times New Roman"/>
          <w:b w:val="0"/>
          <w:bCs w:val="0"/>
          <w:sz w:val="28"/>
          <w:szCs w:val="28"/>
        </w:rPr>
        <w:tab/>
      </w:r>
      <w:bookmarkStart w:id="8" w:name="_Toc2144560121_WPSOffice_Level2Page"/>
      <w:r>
        <w:rPr>
          <w:rFonts w:hint="default" w:ascii="Times New Roman" w:hAnsi="Times New Roman" w:cs="Times New Roman"/>
          <w:b w:val="0"/>
          <w:bCs w:val="0"/>
          <w:sz w:val="28"/>
          <w:szCs w:val="28"/>
        </w:rPr>
        <w:t>8</w:t>
      </w:r>
      <w:bookmarkEnd w:id="8"/>
      <w:r>
        <w:rPr>
          <w:rFonts w:hint="default" w:ascii="Times New Roman" w:hAnsi="Times New Roman" w:cs="Times New Roman"/>
          <w:b w:val="0"/>
          <w:bCs w:val="0"/>
          <w:sz w:val="28"/>
          <w:szCs w:val="28"/>
        </w:rPr>
        <w:fldChar w:fldCharType="end"/>
      </w:r>
    </w:p>
    <w:p>
      <w:pPr>
        <w:pStyle w:val="22"/>
        <w:pageBreakBefore w:val="0"/>
        <w:tabs>
          <w:tab w:val="right" w:leader="dot" w:pos="8306"/>
        </w:tabs>
        <w:kinsoku/>
        <w:wordWrap/>
        <w:overflowPunct/>
        <w:topLinePunct w:val="0"/>
        <w:autoSpaceDE/>
        <w:autoSpaceDN/>
        <w:bidi w:val="0"/>
        <w:adjustRightInd/>
        <w:snapToGrid/>
        <w:spacing w:line="540" w:lineRule="exact"/>
        <w:textAlignment w:val="auto"/>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fldChar w:fldCharType="begin"/>
      </w:r>
      <w:r>
        <w:rPr>
          <w:rFonts w:hint="default" w:ascii="Times New Roman" w:hAnsi="Times New Roman" w:cs="Times New Roman"/>
          <w:b w:val="0"/>
          <w:bCs w:val="0"/>
          <w:sz w:val="28"/>
          <w:szCs w:val="28"/>
        </w:rPr>
        <w:instrText xml:space="preserve"> HYPERLINK \l _Toc1993806694_WPSOffice_Level2 </w:instrText>
      </w:r>
      <w:r>
        <w:rPr>
          <w:rFonts w:hint="default" w:ascii="Times New Roman" w:hAnsi="Times New Roman" w:cs="Times New Roman"/>
          <w:b w:val="0"/>
          <w:bCs w:val="0"/>
          <w:sz w:val="28"/>
          <w:szCs w:val="28"/>
        </w:rPr>
        <w:fldChar w:fldCharType="separate"/>
      </w:r>
      <w:r>
        <w:rPr>
          <w:rFonts w:hint="default" w:ascii="Times New Roman" w:hAnsi="Times New Roman" w:eastAsia="楷体_GB2312" w:cs="Times New Roman"/>
          <w:b w:val="0"/>
          <w:bCs w:val="0"/>
          <w:sz w:val="28"/>
          <w:szCs w:val="28"/>
        </w:rPr>
        <w:t>（三）发展目标</w:t>
      </w:r>
      <w:r>
        <w:rPr>
          <w:rFonts w:hint="default" w:ascii="Times New Roman" w:hAnsi="Times New Roman" w:cs="Times New Roman"/>
          <w:b w:val="0"/>
          <w:bCs w:val="0"/>
          <w:sz w:val="28"/>
          <w:szCs w:val="28"/>
        </w:rPr>
        <w:tab/>
      </w:r>
      <w:bookmarkStart w:id="9" w:name="_Toc1993806694_WPSOffice_Level2Page"/>
      <w:r>
        <w:rPr>
          <w:rFonts w:hint="default" w:ascii="Times New Roman" w:hAnsi="Times New Roman" w:cs="Times New Roman"/>
          <w:b w:val="0"/>
          <w:bCs w:val="0"/>
          <w:sz w:val="28"/>
          <w:szCs w:val="28"/>
        </w:rPr>
        <w:t>9</w:t>
      </w:r>
      <w:bookmarkEnd w:id="9"/>
      <w:r>
        <w:rPr>
          <w:rFonts w:hint="default" w:ascii="Times New Roman" w:hAnsi="Times New Roman" w:cs="Times New Roman"/>
          <w:b w:val="0"/>
          <w:bCs w:val="0"/>
          <w:sz w:val="28"/>
          <w:szCs w:val="28"/>
        </w:rPr>
        <w:fldChar w:fldCharType="end"/>
      </w:r>
    </w:p>
    <w:p>
      <w:pPr>
        <w:pStyle w:val="22"/>
        <w:pageBreakBefore w:val="0"/>
        <w:tabs>
          <w:tab w:val="right" w:leader="dot" w:pos="8306"/>
        </w:tabs>
        <w:kinsoku/>
        <w:wordWrap/>
        <w:overflowPunct/>
        <w:topLinePunct w:val="0"/>
        <w:autoSpaceDE/>
        <w:autoSpaceDN/>
        <w:bidi w:val="0"/>
        <w:adjustRightInd/>
        <w:snapToGrid/>
        <w:spacing w:line="540" w:lineRule="exact"/>
        <w:textAlignment w:val="auto"/>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fldChar w:fldCharType="begin"/>
      </w:r>
      <w:r>
        <w:rPr>
          <w:rFonts w:hint="default" w:ascii="Times New Roman" w:hAnsi="Times New Roman" w:cs="Times New Roman"/>
          <w:b w:val="0"/>
          <w:bCs w:val="0"/>
          <w:sz w:val="28"/>
          <w:szCs w:val="28"/>
        </w:rPr>
        <w:instrText xml:space="preserve"> HYPERLINK \l _Toc795696013_WPSOffice_Level2 </w:instrText>
      </w:r>
      <w:r>
        <w:rPr>
          <w:rFonts w:hint="default" w:ascii="Times New Roman" w:hAnsi="Times New Roman" w:cs="Times New Roman"/>
          <w:b w:val="0"/>
          <w:bCs w:val="0"/>
          <w:sz w:val="28"/>
          <w:szCs w:val="28"/>
        </w:rPr>
        <w:fldChar w:fldCharType="separate"/>
      </w:r>
      <w:r>
        <w:rPr>
          <w:rFonts w:hint="default" w:ascii="Times New Roman" w:hAnsi="Times New Roman" w:eastAsia="楷体_GB2312" w:cs="Times New Roman"/>
          <w:b w:val="0"/>
          <w:bCs w:val="0"/>
          <w:sz w:val="28"/>
          <w:szCs w:val="28"/>
        </w:rPr>
        <w:t>（四）主要指标</w:t>
      </w:r>
      <w:r>
        <w:rPr>
          <w:rFonts w:hint="default" w:ascii="Times New Roman" w:hAnsi="Times New Roman" w:cs="Times New Roman"/>
          <w:b w:val="0"/>
          <w:bCs w:val="0"/>
          <w:sz w:val="28"/>
          <w:szCs w:val="28"/>
        </w:rPr>
        <w:tab/>
      </w:r>
      <w:bookmarkStart w:id="10" w:name="_Toc795696013_WPSOffice_Level2Page"/>
      <w:r>
        <w:rPr>
          <w:rFonts w:hint="default" w:ascii="Times New Roman" w:hAnsi="Times New Roman" w:cs="Times New Roman"/>
          <w:b w:val="0"/>
          <w:bCs w:val="0"/>
          <w:sz w:val="28"/>
          <w:szCs w:val="28"/>
        </w:rPr>
        <w:t>10</w:t>
      </w:r>
      <w:bookmarkEnd w:id="10"/>
      <w:r>
        <w:rPr>
          <w:rFonts w:hint="default" w:ascii="Times New Roman" w:hAnsi="Times New Roman" w:cs="Times New Roman"/>
          <w:b w:val="0"/>
          <w:bCs w:val="0"/>
          <w:sz w:val="28"/>
          <w:szCs w:val="28"/>
        </w:rPr>
        <w:fldChar w:fldCharType="end"/>
      </w:r>
    </w:p>
    <w:p>
      <w:pPr>
        <w:pStyle w:val="21"/>
        <w:pageBreakBefore w:val="0"/>
        <w:tabs>
          <w:tab w:val="right" w:leader="dot" w:pos="8306"/>
        </w:tabs>
        <w:kinsoku/>
        <w:wordWrap/>
        <w:overflowPunct/>
        <w:topLinePunct w:val="0"/>
        <w:autoSpaceDE/>
        <w:autoSpaceDN/>
        <w:bidi w:val="0"/>
        <w:adjustRightInd/>
        <w:snapToGrid/>
        <w:spacing w:line="540" w:lineRule="exact"/>
        <w:textAlignment w:val="auto"/>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fldChar w:fldCharType="begin"/>
      </w:r>
      <w:r>
        <w:rPr>
          <w:rFonts w:hint="default" w:ascii="Times New Roman" w:hAnsi="Times New Roman" w:cs="Times New Roman"/>
          <w:b w:val="0"/>
          <w:bCs w:val="0"/>
          <w:sz w:val="28"/>
          <w:szCs w:val="28"/>
        </w:rPr>
        <w:instrText xml:space="preserve"> HYPERLINK \l _Toc1522047221_WPSOffice_Level1 </w:instrText>
      </w:r>
      <w:r>
        <w:rPr>
          <w:rFonts w:hint="default" w:ascii="Times New Roman" w:hAnsi="Times New Roman" w:cs="Times New Roman"/>
          <w:b w:val="0"/>
          <w:bCs w:val="0"/>
          <w:sz w:val="28"/>
          <w:szCs w:val="28"/>
        </w:rPr>
        <w:fldChar w:fldCharType="separate"/>
      </w:r>
      <w:r>
        <w:rPr>
          <w:rFonts w:hint="default" w:ascii="Times New Roman" w:hAnsi="Times New Roman" w:eastAsia="经典黑体简" w:cs="Times New Roman"/>
          <w:b w:val="0"/>
          <w:bCs w:val="0"/>
          <w:sz w:val="28"/>
          <w:szCs w:val="28"/>
        </w:rPr>
        <w:t>六、主要任务</w:t>
      </w:r>
      <w:r>
        <w:rPr>
          <w:rFonts w:hint="default" w:ascii="Times New Roman" w:hAnsi="Times New Roman" w:cs="Times New Roman"/>
          <w:b w:val="0"/>
          <w:bCs w:val="0"/>
          <w:sz w:val="28"/>
          <w:szCs w:val="28"/>
        </w:rPr>
        <w:tab/>
      </w:r>
      <w:bookmarkStart w:id="11" w:name="_Toc1522047221_WPSOffice_Level1Page"/>
      <w:r>
        <w:rPr>
          <w:rFonts w:hint="default" w:ascii="Times New Roman" w:hAnsi="Times New Roman" w:cs="Times New Roman"/>
          <w:b w:val="0"/>
          <w:bCs w:val="0"/>
          <w:sz w:val="28"/>
          <w:szCs w:val="28"/>
        </w:rPr>
        <w:t>10</w:t>
      </w:r>
      <w:bookmarkEnd w:id="11"/>
      <w:r>
        <w:rPr>
          <w:rFonts w:hint="default" w:ascii="Times New Roman" w:hAnsi="Times New Roman" w:cs="Times New Roman"/>
          <w:b w:val="0"/>
          <w:bCs w:val="0"/>
          <w:sz w:val="28"/>
          <w:szCs w:val="28"/>
        </w:rPr>
        <w:fldChar w:fldCharType="end"/>
      </w:r>
    </w:p>
    <w:p>
      <w:pPr>
        <w:pStyle w:val="22"/>
        <w:pageBreakBefore w:val="0"/>
        <w:tabs>
          <w:tab w:val="right" w:leader="dot" w:pos="8306"/>
        </w:tabs>
        <w:kinsoku/>
        <w:wordWrap/>
        <w:overflowPunct/>
        <w:topLinePunct w:val="0"/>
        <w:autoSpaceDE/>
        <w:autoSpaceDN/>
        <w:bidi w:val="0"/>
        <w:adjustRightInd/>
        <w:snapToGrid/>
        <w:spacing w:line="540" w:lineRule="exact"/>
        <w:textAlignment w:val="auto"/>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fldChar w:fldCharType="begin"/>
      </w:r>
      <w:r>
        <w:rPr>
          <w:rFonts w:hint="default" w:ascii="Times New Roman" w:hAnsi="Times New Roman" w:cs="Times New Roman"/>
          <w:b w:val="0"/>
          <w:bCs w:val="0"/>
          <w:sz w:val="28"/>
          <w:szCs w:val="28"/>
        </w:rPr>
        <w:instrText xml:space="preserve"> HYPERLINK \l _Toc1714873823_WPSOffice_Level2 </w:instrText>
      </w:r>
      <w:r>
        <w:rPr>
          <w:rFonts w:hint="default" w:ascii="Times New Roman" w:hAnsi="Times New Roman" w:cs="Times New Roman"/>
          <w:b w:val="0"/>
          <w:bCs w:val="0"/>
          <w:sz w:val="28"/>
          <w:szCs w:val="28"/>
        </w:rPr>
        <w:fldChar w:fldCharType="separate"/>
      </w:r>
      <w:r>
        <w:rPr>
          <w:rFonts w:hint="default" w:ascii="Times New Roman" w:hAnsi="Times New Roman" w:eastAsia="楷体_GB2312" w:cs="Times New Roman"/>
          <w:b w:val="0"/>
          <w:bCs w:val="0"/>
          <w:sz w:val="28"/>
          <w:szCs w:val="28"/>
        </w:rPr>
        <w:t>（一）推动中轴线申遗保护工作取得新进展</w:t>
      </w:r>
      <w:r>
        <w:rPr>
          <w:rFonts w:hint="default" w:ascii="Times New Roman" w:hAnsi="Times New Roman" w:cs="Times New Roman"/>
          <w:b w:val="0"/>
          <w:bCs w:val="0"/>
          <w:sz w:val="28"/>
          <w:szCs w:val="28"/>
        </w:rPr>
        <w:tab/>
      </w:r>
      <w:bookmarkStart w:id="12" w:name="_Toc1714873823_WPSOffice_Level2Page"/>
      <w:r>
        <w:rPr>
          <w:rFonts w:hint="default" w:ascii="Times New Roman" w:hAnsi="Times New Roman" w:cs="Times New Roman"/>
          <w:b w:val="0"/>
          <w:bCs w:val="0"/>
          <w:sz w:val="28"/>
          <w:szCs w:val="28"/>
        </w:rPr>
        <w:t>10</w:t>
      </w:r>
      <w:bookmarkEnd w:id="12"/>
      <w:r>
        <w:rPr>
          <w:rFonts w:hint="default" w:ascii="Times New Roman" w:hAnsi="Times New Roman" w:cs="Times New Roman"/>
          <w:b w:val="0"/>
          <w:bCs w:val="0"/>
          <w:sz w:val="28"/>
          <w:szCs w:val="28"/>
        </w:rPr>
        <w:fldChar w:fldCharType="end"/>
      </w:r>
    </w:p>
    <w:p>
      <w:pPr>
        <w:pStyle w:val="22"/>
        <w:pageBreakBefore w:val="0"/>
        <w:tabs>
          <w:tab w:val="right" w:leader="dot" w:pos="8306"/>
        </w:tabs>
        <w:kinsoku/>
        <w:wordWrap/>
        <w:overflowPunct/>
        <w:topLinePunct w:val="0"/>
        <w:autoSpaceDE/>
        <w:autoSpaceDN/>
        <w:bidi w:val="0"/>
        <w:adjustRightInd/>
        <w:snapToGrid/>
        <w:spacing w:line="540" w:lineRule="exact"/>
        <w:textAlignment w:val="auto"/>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fldChar w:fldCharType="begin"/>
      </w:r>
      <w:r>
        <w:rPr>
          <w:rFonts w:hint="default" w:ascii="Times New Roman" w:hAnsi="Times New Roman" w:cs="Times New Roman"/>
          <w:b w:val="0"/>
          <w:bCs w:val="0"/>
          <w:sz w:val="28"/>
          <w:szCs w:val="28"/>
        </w:rPr>
        <w:instrText xml:space="preserve"> HYPERLINK \l _Toc354389263_WPSOffice_Level2 </w:instrText>
      </w:r>
      <w:r>
        <w:rPr>
          <w:rFonts w:hint="default" w:ascii="Times New Roman" w:hAnsi="Times New Roman" w:cs="Times New Roman"/>
          <w:b w:val="0"/>
          <w:bCs w:val="0"/>
          <w:sz w:val="28"/>
          <w:szCs w:val="28"/>
        </w:rPr>
        <w:fldChar w:fldCharType="separate"/>
      </w:r>
      <w:r>
        <w:rPr>
          <w:rFonts w:hint="default" w:ascii="Times New Roman" w:hAnsi="Times New Roman" w:eastAsia="楷体_GB2312" w:cs="Times New Roman"/>
          <w:b w:val="0"/>
          <w:bCs w:val="0"/>
          <w:sz w:val="28"/>
          <w:szCs w:val="28"/>
        </w:rPr>
        <w:t>（二）推动博物馆之城建设呈现新气象</w:t>
      </w:r>
      <w:r>
        <w:rPr>
          <w:rFonts w:hint="default" w:ascii="Times New Roman" w:hAnsi="Times New Roman" w:cs="Times New Roman"/>
          <w:b w:val="0"/>
          <w:bCs w:val="0"/>
          <w:sz w:val="28"/>
          <w:szCs w:val="28"/>
        </w:rPr>
        <w:tab/>
      </w:r>
      <w:bookmarkStart w:id="13" w:name="_Toc354389263_WPSOffice_Level2Page"/>
      <w:r>
        <w:rPr>
          <w:rFonts w:hint="default" w:ascii="Times New Roman" w:hAnsi="Times New Roman" w:cs="Times New Roman"/>
          <w:b w:val="0"/>
          <w:bCs w:val="0"/>
          <w:sz w:val="28"/>
          <w:szCs w:val="28"/>
        </w:rPr>
        <w:t>13</w:t>
      </w:r>
      <w:bookmarkEnd w:id="13"/>
      <w:r>
        <w:rPr>
          <w:rFonts w:hint="default" w:ascii="Times New Roman" w:hAnsi="Times New Roman" w:cs="Times New Roman"/>
          <w:b w:val="0"/>
          <w:bCs w:val="0"/>
          <w:sz w:val="28"/>
          <w:szCs w:val="28"/>
        </w:rPr>
        <w:fldChar w:fldCharType="end"/>
      </w:r>
    </w:p>
    <w:p>
      <w:pPr>
        <w:pStyle w:val="22"/>
        <w:pageBreakBefore w:val="0"/>
        <w:tabs>
          <w:tab w:val="right" w:leader="dot" w:pos="8306"/>
        </w:tabs>
        <w:kinsoku/>
        <w:wordWrap/>
        <w:overflowPunct/>
        <w:topLinePunct w:val="0"/>
        <w:autoSpaceDE/>
        <w:autoSpaceDN/>
        <w:bidi w:val="0"/>
        <w:adjustRightInd/>
        <w:snapToGrid/>
        <w:spacing w:line="540" w:lineRule="exact"/>
        <w:textAlignment w:val="auto"/>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fldChar w:fldCharType="begin"/>
      </w:r>
      <w:r>
        <w:rPr>
          <w:rFonts w:hint="default" w:ascii="Times New Roman" w:hAnsi="Times New Roman" w:cs="Times New Roman"/>
          <w:b w:val="0"/>
          <w:bCs w:val="0"/>
          <w:sz w:val="28"/>
          <w:szCs w:val="28"/>
        </w:rPr>
        <w:instrText xml:space="preserve"> HYPERLINK \l _Toc133508712_WPSOffice_Level2 </w:instrText>
      </w:r>
      <w:r>
        <w:rPr>
          <w:rFonts w:hint="default" w:ascii="Times New Roman" w:hAnsi="Times New Roman" w:cs="Times New Roman"/>
          <w:b w:val="0"/>
          <w:bCs w:val="0"/>
          <w:sz w:val="28"/>
          <w:szCs w:val="28"/>
        </w:rPr>
        <w:fldChar w:fldCharType="separate"/>
      </w:r>
      <w:r>
        <w:rPr>
          <w:rFonts w:hint="default" w:ascii="Times New Roman" w:hAnsi="Times New Roman" w:eastAsia="楷体_GB2312" w:cs="Times New Roman"/>
          <w:b w:val="0"/>
          <w:bCs w:val="0"/>
          <w:sz w:val="28"/>
          <w:szCs w:val="28"/>
        </w:rPr>
        <w:t>（三）推动“两园三带”建设彰显新形象</w:t>
      </w:r>
      <w:r>
        <w:rPr>
          <w:rFonts w:hint="default" w:ascii="Times New Roman" w:hAnsi="Times New Roman" w:cs="Times New Roman"/>
          <w:b w:val="0"/>
          <w:bCs w:val="0"/>
          <w:sz w:val="28"/>
          <w:szCs w:val="28"/>
        </w:rPr>
        <w:tab/>
      </w:r>
      <w:bookmarkStart w:id="14" w:name="_Toc133508712_WPSOffice_Level2Page"/>
      <w:r>
        <w:rPr>
          <w:rFonts w:hint="default" w:ascii="Times New Roman" w:hAnsi="Times New Roman" w:cs="Times New Roman"/>
          <w:b w:val="0"/>
          <w:bCs w:val="0"/>
          <w:sz w:val="28"/>
          <w:szCs w:val="28"/>
        </w:rPr>
        <w:t>18</w:t>
      </w:r>
      <w:bookmarkEnd w:id="14"/>
      <w:r>
        <w:rPr>
          <w:rFonts w:hint="default" w:ascii="Times New Roman" w:hAnsi="Times New Roman" w:cs="Times New Roman"/>
          <w:b w:val="0"/>
          <w:bCs w:val="0"/>
          <w:sz w:val="28"/>
          <w:szCs w:val="28"/>
        </w:rPr>
        <w:fldChar w:fldCharType="end"/>
      </w:r>
    </w:p>
    <w:p>
      <w:pPr>
        <w:pStyle w:val="22"/>
        <w:pageBreakBefore w:val="0"/>
        <w:tabs>
          <w:tab w:val="right" w:leader="dot" w:pos="8306"/>
        </w:tabs>
        <w:kinsoku/>
        <w:wordWrap/>
        <w:overflowPunct/>
        <w:topLinePunct w:val="0"/>
        <w:autoSpaceDE/>
        <w:autoSpaceDN/>
        <w:bidi w:val="0"/>
        <w:adjustRightInd/>
        <w:snapToGrid/>
        <w:spacing w:line="540" w:lineRule="exact"/>
        <w:textAlignment w:val="auto"/>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fldChar w:fldCharType="begin"/>
      </w:r>
      <w:r>
        <w:rPr>
          <w:rFonts w:hint="default" w:ascii="Times New Roman" w:hAnsi="Times New Roman" w:cs="Times New Roman"/>
          <w:b w:val="0"/>
          <w:bCs w:val="0"/>
          <w:sz w:val="28"/>
          <w:szCs w:val="28"/>
        </w:rPr>
        <w:instrText xml:space="preserve"> HYPERLINK \l _Toc742916336_WPSOffice_Level2 </w:instrText>
      </w:r>
      <w:r>
        <w:rPr>
          <w:rFonts w:hint="default" w:ascii="Times New Roman" w:hAnsi="Times New Roman" w:cs="Times New Roman"/>
          <w:b w:val="0"/>
          <w:bCs w:val="0"/>
          <w:sz w:val="28"/>
          <w:szCs w:val="28"/>
        </w:rPr>
        <w:fldChar w:fldCharType="separate"/>
      </w:r>
      <w:r>
        <w:rPr>
          <w:rFonts w:hint="default" w:ascii="Times New Roman" w:hAnsi="Times New Roman" w:eastAsia="楷体_GB2312" w:cs="Times New Roman"/>
          <w:b w:val="0"/>
          <w:bCs w:val="0"/>
          <w:sz w:val="28"/>
          <w:szCs w:val="28"/>
        </w:rPr>
        <w:t>（四）推动文物保护利用示范区建设展现新成就</w:t>
      </w:r>
      <w:r>
        <w:rPr>
          <w:rFonts w:hint="default" w:ascii="Times New Roman" w:hAnsi="Times New Roman" w:cs="Times New Roman"/>
          <w:b w:val="0"/>
          <w:bCs w:val="0"/>
          <w:sz w:val="28"/>
          <w:szCs w:val="28"/>
        </w:rPr>
        <w:tab/>
      </w:r>
      <w:bookmarkStart w:id="15" w:name="_Toc742916336_WPSOffice_Level2Page"/>
      <w:r>
        <w:rPr>
          <w:rFonts w:hint="default" w:ascii="Times New Roman" w:hAnsi="Times New Roman" w:cs="Times New Roman"/>
          <w:b w:val="0"/>
          <w:bCs w:val="0"/>
          <w:sz w:val="28"/>
          <w:szCs w:val="28"/>
        </w:rPr>
        <w:t>21</w:t>
      </w:r>
      <w:bookmarkEnd w:id="15"/>
      <w:r>
        <w:rPr>
          <w:rFonts w:hint="default" w:ascii="Times New Roman" w:hAnsi="Times New Roman" w:cs="Times New Roman"/>
          <w:b w:val="0"/>
          <w:bCs w:val="0"/>
          <w:sz w:val="28"/>
          <w:szCs w:val="28"/>
        </w:rPr>
        <w:fldChar w:fldCharType="end"/>
      </w:r>
    </w:p>
    <w:p>
      <w:pPr>
        <w:pStyle w:val="22"/>
        <w:pageBreakBefore w:val="0"/>
        <w:tabs>
          <w:tab w:val="right" w:leader="dot" w:pos="8306"/>
        </w:tabs>
        <w:kinsoku/>
        <w:wordWrap/>
        <w:overflowPunct/>
        <w:topLinePunct w:val="0"/>
        <w:autoSpaceDE/>
        <w:autoSpaceDN/>
        <w:bidi w:val="0"/>
        <w:adjustRightInd/>
        <w:snapToGrid/>
        <w:spacing w:line="540" w:lineRule="exact"/>
        <w:textAlignment w:val="auto"/>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fldChar w:fldCharType="begin"/>
      </w:r>
      <w:r>
        <w:rPr>
          <w:rFonts w:hint="default" w:ascii="Times New Roman" w:hAnsi="Times New Roman" w:cs="Times New Roman"/>
          <w:b w:val="0"/>
          <w:bCs w:val="0"/>
          <w:sz w:val="28"/>
          <w:szCs w:val="28"/>
        </w:rPr>
        <w:instrText xml:space="preserve"> HYPERLINK \l _Toc1816357312_WPSOffice_Level2 </w:instrText>
      </w:r>
      <w:r>
        <w:rPr>
          <w:rFonts w:hint="default" w:ascii="Times New Roman" w:hAnsi="Times New Roman" w:cs="Times New Roman"/>
          <w:b w:val="0"/>
          <w:bCs w:val="0"/>
          <w:sz w:val="28"/>
          <w:szCs w:val="28"/>
        </w:rPr>
        <w:fldChar w:fldCharType="separate"/>
      </w:r>
      <w:r>
        <w:rPr>
          <w:rFonts w:hint="default" w:ascii="Times New Roman" w:hAnsi="Times New Roman" w:eastAsia="楷体_GB2312" w:cs="Times New Roman"/>
          <w:b w:val="0"/>
          <w:bCs w:val="0"/>
          <w:sz w:val="28"/>
          <w:szCs w:val="28"/>
        </w:rPr>
        <w:t>（五）推动革命文物保护和红色文化建设形成新高地</w:t>
      </w:r>
      <w:r>
        <w:rPr>
          <w:rFonts w:hint="default" w:ascii="Times New Roman" w:hAnsi="Times New Roman" w:cs="Times New Roman"/>
          <w:b w:val="0"/>
          <w:bCs w:val="0"/>
          <w:sz w:val="28"/>
          <w:szCs w:val="28"/>
        </w:rPr>
        <w:tab/>
      </w:r>
      <w:bookmarkStart w:id="16" w:name="_Toc1816357312_WPSOffice_Level2Page"/>
      <w:r>
        <w:rPr>
          <w:rFonts w:hint="default" w:ascii="Times New Roman" w:hAnsi="Times New Roman" w:cs="Times New Roman"/>
          <w:b w:val="0"/>
          <w:bCs w:val="0"/>
          <w:sz w:val="28"/>
          <w:szCs w:val="28"/>
        </w:rPr>
        <w:t>23</w:t>
      </w:r>
      <w:bookmarkEnd w:id="16"/>
      <w:r>
        <w:rPr>
          <w:rFonts w:hint="default" w:ascii="Times New Roman" w:hAnsi="Times New Roman" w:cs="Times New Roman"/>
          <w:b w:val="0"/>
          <w:bCs w:val="0"/>
          <w:sz w:val="28"/>
          <w:szCs w:val="28"/>
        </w:rPr>
        <w:fldChar w:fldCharType="end"/>
      </w:r>
    </w:p>
    <w:p>
      <w:pPr>
        <w:pStyle w:val="22"/>
        <w:pageBreakBefore w:val="0"/>
        <w:tabs>
          <w:tab w:val="right" w:leader="dot" w:pos="8306"/>
        </w:tabs>
        <w:kinsoku/>
        <w:wordWrap/>
        <w:overflowPunct/>
        <w:topLinePunct w:val="0"/>
        <w:autoSpaceDE/>
        <w:autoSpaceDN/>
        <w:bidi w:val="0"/>
        <w:adjustRightInd/>
        <w:snapToGrid/>
        <w:spacing w:line="540" w:lineRule="exact"/>
        <w:textAlignment w:val="auto"/>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fldChar w:fldCharType="begin"/>
      </w:r>
      <w:r>
        <w:rPr>
          <w:rFonts w:hint="default" w:ascii="Times New Roman" w:hAnsi="Times New Roman" w:cs="Times New Roman"/>
          <w:b w:val="0"/>
          <w:bCs w:val="0"/>
          <w:sz w:val="28"/>
          <w:szCs w:val="28"/>
        </w:rPr>
        <w:instrText xml:space="preserve"> HYPERLINK \l _Toc2111082130_WPSOffice_Level2 </w:instrText>
      </w:r>
      <w:r>
        <w:rPr>
          <w:rFonts w:hint="default" w:ascii="Times New Roman" w:hAnsi="Times New Roman" w:cs="Times New Roman"/>
          <w:b w:val="0"/>
          <w:bCs w:val="0"/>
          <w:sz w:val="28"/>
          <w:szCs w:val="28"/>
        </w:rPr>
        <w:fldChar w:fldCharType="separate"/>
      </w:r>
      <w:r>
        <w:rPr>
          <w:rFonts w:hint="default" w:ascii="Times New Roman" w:hAnsi="Times New Roman" w:eastAsia="楷体_GB2312" w:cs="Times New Roman"/>
          <w:b w:val="0"/>
          <w:bCs w:val="0"/>
          <w:sz w:val="28"/>
          <w:szCs w:val="28"/>
        </w:rPr>
        <w:t>（六）推动首都考古工作厚植发展新优势</w:t>
      </w:r>
      <w:r>
        <w:rPr>
          <w:rFonts w:hint="default" w:ascii="Times New Roman" w:hAnsi="Times New Roman" w:cs="Times New Roman"/>
          <w:b w:val="0"/>
          <w:bCs w:val="0"/>
          <w:sz w:val="28"/>
          <w:szCs w:val="28"/>
        </w:rPr>
        <w:tab/>
      </w:r>
      <w:bookmarkStart w:id="17" w:name="_Toc2111082130_WPSOffice_Level2Page"/>
      <w:r>
        <w:rPr>
          <w:rFonts w:hint="default" w:ascii="Times New Roman" w:hAnsi="Times New Roman" w:cs="Times New Roman"/>
          <w:b w:val="0"/>
          <w:bCs w:val="0"/>
          <w:sz w:val="28"/>
          <w:szCs w:val="28"/>
        </w:rPr>
        <w:t>25</w:t>
      </w:r>
      <w:bookmarkEnd w:id="17"/>
      <w:r>
        <w:rPr>
          <w:rFonts w:hint="default" w:ascii="Times New Roman" w:hAnsi="Times New Roman" w:cs="Times New Roman"/>
          <w:b w:val="0"/>
          <w:bCs w:val="0"/>
          <w:sz w:val="28"/>
          <w:szCs w:val="28"/>
        </w:rPr>
        <w:fldChar w:fldCharType="end"/>
      </w:r>
    </w:p>
    <w:p>
      <w:pPr>
        <w:pStyle w:val="22"/>
        <w:pageBreakBefore w:val="0"/>
        <w:tabs>
          <w:tab w:val="right" w:leader="dot" w:pos="8306"/>
        </w:tabs>
        <w:kinsoku/>
        <w:wordWrap/>
        <w:overflowPunct/>
        <w:topLinePunct w:val="0"/>
        <w:autoSpaceDE/>
        <w:autoSpaceDN/>
        <w:bidi w:val="0"/>
        <w:adjustRightInd/>
        <w:snapToGrid/>
        <w:spacing w:line="540" w:lineRule="exact"/>
        <w:textAlignment w:val="auto"/>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fldChar w:fldCharType="begin"/>
      </w:r>
      <w:r>
        <w:rPr>
          <w:rFonts w:hint="default" w:ascii="Times New Roman" w:hAnsi="Times New Roman" w:cs="Times New Roman"/>
          <w:b w:val="0"/>
          <w:bCs w:val="0"/>
          <w:sz w:val="28"/>
          <w:szCs w:val="28"/>
        </w:rPr>
        <w:instrText xml:space="preserve"> HYPERLINK \l _Toc226115104_WPSOffice_Level2 </w:instrText>
      </w:r>
      <w:r>
        <w:rPr>
          <w:rFonts w:hint="default" w:ascii="Times New Roman" w:hAnsi="Times New Roman" w:cs="Times New Roman"/>
          <w:b w:val="0"/>
          <w:bCs w:val="0"/>
          <w:sz w:val="28"/>
          <w:szCs w:val="28"/>
        </w:rPr>
        <w:fldChar w:fldCharType="separate"/>
      </w:r>
      <w:r>
        <w:rPr>
          <w:rFonts w:hint="default" w:ascii="Times New Roman" w:hAnsi="Times New Roman" w:eastAsia="楷体_GB2312" w:cs="Times New Roman"/>
          <w:b w:val="0"/>
          <w:bCs w:val="0"/>
          <w:sz w:val="28"/>
          <w:szCs w:val="28"/>
        </w:rPr>
        <w:t>（七）推动国际文物艺术品交易中心形成新动能</w:t>
      </w:r>
      <w:r>
        <w:rPr>
          <w:rFonts w:hint="default" w:ascii="Times New Roman" w:hAnsi="Times New Roman" w:cs="Times New Roman"/>
          <w:b w:val="0"/>
          <w:bCs w:val="0"/>
          <w:sz w:val="28"/>
          <w:szCs w:val="28"/>
        </w:rPr>
        <w:tab/>
      </w:r>
      <w:bookmarkStart w:id="18" w:name="_Toc226115104_WPSOffice_Level2Page"/>
      <w:r>
        <w:rPr>
          <w:rFonts w:hint="default" w:ascii="Times New Roman" w:hAnsi="Times New Roman" w:cs="Times New Roman"/>
          <w:b w:val="0"/>
          <w:bCs w:val="0"/>
          <w:sz w:val="28"/>
          <w:szCs w:val="28"/>
        </w:rPr>
        <w:t>27</w:t>
      </w:r>
      <w:bookmarkEnd w:id="18"/>
      <w:r>
        <w:rPr>
          <w:rFonts w:hint="default" w:ascii="Times New Roman" w:hAnsi="Times New Roman" w:cs="Times New Roman"/>
          <w:b w:val="0"/>
          <w:bCs w:val="0"/>
          <w:sz w:val="28"/>
          <w:szCs w:val="28"/>
        </w:rPr>
        <w:fldChar w:fldCharType="end"/>
      </w:r>
    </w:p>
    <w:p>
      <w:pPr>
        <w:pStyle w:val="22"/>
        <w:pageBreakBefore w:val="0"/>
        <w:tabs>
          <w:tab w:val="right" w:leader="dot" w:pos="8306"/>
        </w:tabs>
        <w:kinsoku/>
        <w:wordWrap/>
        <w:overflowPunct/>
        <w:topLinePunct w:val="0"/>
        <w:autoSpaceDE/>
        <w:autoSpaceDN/>
        <w:bidi w:val="0"/>
        <w:adjustRightInd/>
        <w:snapToGrid/>
        <w:spacing w:line="540" w:lineRule="exact"/>
        <w:textAlignment w:val="auto"/>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fldChar w:fldCharType="begin"/>
      </w:r>
      <w:r>
        <w:rPr>
          <w:rFonts w:hint="default" w:ascii="Times New Roman" w:hAnsi="Times New Roman" w:cs="Times New Roman"/>
          <w:b w:val="0"/>
          <w:bCs w:val="0"/>
          <w:sz w:val="28"/>
          <w:szCs w:val="28"/>
        </w:rPr>
        <w:instrText xml:space="preserve"> HYPERLINK \l _Toc1101161956_WPSOffice_Level2 </w:instrText>
      </w:r>
      <w:r>
        <w:rPr>
          <w:rFonts w:hint="default" w:ascii="Times New Roman" w:hAnsi="Times New Roman" w:cs="Times New Roman"/>
          <w:b w:val="0"/>
          <w:bCs w:val="0"/>
          <w:sz w:val="28"/>
          <w:szCs w:val="28"/>
        </w:rPr>
        <w:fldChar w:fldCharType="separate"/>
      </w:r>
      <w:r>
        <w:rPr>
          <w:rFonts w:hint="default" w:ascii="Times New Roman" w:hAnsi="Times New Roman" w:eastAsia="楷体_GB2312" w:cs="Times New Roman"/>
          <w:b w:val="0"/>
          <w:bCs w:val="0"/>
          <w:sz w:val="28"/>
          <w:szCs w:val="28"/>
        </w:rPr>
        <w:t>（八）推动文物治理体系和治理能力建设得到新提升</w:t>
      </w:r>
      <w:r>
        <w:rPr>
          <w:rFonts w:hint="default" w:ascii="Times New Roman" w:hAnsi="Times New Roman" w:cs="Times New Roman"/>
          <w:b w:val="0"/>
          <w:bCs w:val="0"/>
          <w:sz w:val="28"/>
          <w:szCs w:val="28"/>
        </w:rPr>
        <w:tab/>
      </w:r>
      <w:bookmarkStart w:id="19" w:name="_Toc1101161956_WPSOffice_Level2Page"/>
      <w:r>
        <w:rPr>
          <w:rFonts w:hint="default" w:ascii="Times New Roman" w:hAnsi="Times New Roman" w:cs="Times New Roman"/>
          <w:b w:val="0"/>
          <w:bCs w:val="0"/>
          <w:sz w:val="28"/>
          <w:szCs w:val="28"/>
        </w:rPr>
        <w:t>30</w:t>
      </w:r>
      <w:bookmarkEnd w:id="19"/>
      <w:r>
        <w:rPr>
          <w:rFonts w:hint="default" w:ascii="Times New Roman" w:hAnsi="Times New Roman" w:cs="Times New Roman"/>
          <w:b w:val="0"/>
          <w:bCs w:val="0"/>
          <w:sz w:val="28"/>
          <w:szCs w:val="28"/>
        </w:rPr>
        <w:fldChar w:fldCharType="end"/>
      </w:r>
    </w:p>
    <w:p>
      <w:pPr>
        <w:pStyle w:val="21"/>
        <w:pageBreakBefore w:val="0"/>
        <w:tabs>
          <w:tab w:val="right" w:leader="dot" w:pos="8306"/>
        </w:tabs>
        <w:kinsoku/>
        <w:wordWrap/>
        <w:overflowPunct/>
        <w:topLinePunct w:val="0"/>
        <w:autoSpaceDE/>
        <w:autoSpaceDN/>
        <w:bidi w:val="0"/>
        <w:adjustRightInd/>
        <w:snapToGrid/>
        <w:spacing w:line="540" w:lineRule="exact"/>
        <w:textAlignment w:val="auto"/>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fldChar w:fldCharType="begin"/>
      </w:r>
      <w:r>
        <w:rPr>
          <w:rFonts w:hint="default" w:ascii="Times New Roman" w:hAnsi="Times New Roman" w:cs="Times New Roman"/>
          <w:b w:val="0"/>
          <w:bCs w:val="0"/>
          <w:sz w:val="28"/>
          <w:szCs w:val="28"/>
        </w:rPr>
        <w:instrText xml:space="preserve"> HYPERLINK \l _Toc713265352_WPSOffice_Level1 </w:instrText>
      </w:r>
      <w:r>
        <w:rPr>
          <w:rFonts w:hint="default" w:ascii="Times New Roman" w:hAnsi="Times New Roman" w:cs="Times New Roman"/>
          <w:b w:val="0"/>
          <w:bCs w:val="0"/>
          <w:sz w:val="28"/>
          <w:szCs w:val="28"/>
        </w:rPr>
        <w:fldChar w:fldCharType="separate"/>
      </w:r>
      <w:r>
        <w:rPr>
          <w:rFonts w:hint="default" w:ascii="Times New Roman" w:hAnsi="Times New Roman" w:eastAsia="经典黑体简" w:cs="Times New Roman"/>
          <w:b w:val="0"/>
          <w:bCs w:val="0"/>
          <w:sz w:val="28"/>
          <w:szCs w:val="28"/>
        </w:rPr>
        <w:t>七、实施保障</w:t>
      </w:r>
      <w:r>
        <w:rPr>
          <w:rFonts w:hint="default" w:ascii="Times New Roman" w:hAnsi="Times New Roman" w:cs="Times New Roman"/>
          <w:b w:val="0"/>
          <w:bCs w:val="0"/>
          <w:sz w:val="28"/>
          <w:szCs w:val="28"/>
        </w:rPr>
        <w:tab/>
      </w:r>
      <w:bookmarkStart w:id="20" w:name="_Toc713265352_WPSOffice_Level1Page"/>
      <w:r>
        <w:rPr>
          <w:rFonts w:hint="default" w:ascii="Times New Roman" w:hAnsi="Times New Roman" w:cs="Times New Roman"/>
          <w:b w:val="0"/>
          <w:bCs w:val="0"/>
          <w:sz w:val="28"/>
          <w:szCs w:val="28"/>
        </w:rPr>
        <w:t>35</w:t>
      </w:r>
      <w:bookmarkEnd w:id="20"/>
      <w:r>
        <w:rPr>
          <w:rFonts w:hint="default" w:ascii="Times New Roman" w:hAnsi="Times New Roman" w:cs="Times New Roman"/>
          <w:b w:val="0"/>
          <w:bCs w:val="0"/>
          <w:sz w:val="28"/>
          <w:szCs w:val="28"/>
        </w:rPr>
        <w:fldChar w:fldCharType="end"/>
      </w:r>
    </w:p>
    <w:p>
      <w:pPr>
        <w:pStyle w:val="22"/>
        <w:pageBreakBefore w:val="0"/>
        <w:tabs>
          <w:tab w:val="right" w:leader="dot" w:pos="8306"/>
        </w:tabs>
        <w:kinsoku/>
        <w:wordWrap/>
        <w:overflowPunct/>
        <w:topLinePunct w:val="0"/>
        <w:autoSpaceDE/>
        <w:autoSpaceDN/>
        <w:bidi w:val="0"/>
        <w:adjustRightInd/>
        <w:snapToGrid/>
        <w:spacing w:line="540" w:lineRule="exact"/>
        <w:textAlignment w:val="auto"/>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fldChar w:fldCharType="begin"/>
      </w:r>
      <w:r>
        <w:rPr>
          <w:rFonts w:hint="default" w:ascii="Times New Roman" w:hAnsi="Times New Roman" w:cs="Times New Roman"/>
          <w:b w:val="0"/>
          <w:bCs w:val="0"/>
          <w:sz w:val="28"/>
          <w:szCs w:val="28"/>
        </w:rPr>
        <w:instrText xml:space="preserve"> HYPERLINK \l _Toc1845652780_WPSOffice_Level2 </w:instrText>
      </w:r>
      <w:r>
        <w:rPr>
          <w:rFonts w:hint="default" w:ascii="Times New Roman" w:hAnsi="Times New Roman" w:cs="Times New Roman"/>
          <w:b w:val="0"/>
          <w:bCs w:val="0"/>
          <w:sz w:val="28"/>
          <w:szCs w:val="28"/>
        </w:rPr>
        <w:fldChar w:fldCharType="separate"/>
      </w:r>
      <w:r>
        <w:rPr>
          <w:rFonts w:hint="default" w:ascii="Times New Roman" w:hAnsi="Times New Roman" w:eastAsia="楷体_GB2312" w:cs="Times New Roman"/>
          <w:b w:val="0"/>
          <w:bCs w:val="0"/>
          <w:sz w:val="28"/>
          <w:szCs w:val="28"/>
        </w:rPr>
        <w:t>（一）加强组织领导</w:t>
      </w:r>
      <w:r>
        <w:rPr>
          <w:rFonts w:hint="default" w:ascii="Times New Roman" w:hAnsi="Times New Roman" w:cs="Times New Roman"/>
          <w:b w:val="0"/>
          <w:bCs w:val="0"/>
          <w:sz w:val="28"/>
          <w:szCs w:val="28"/>
        </w:rPr>
        <w:tab/>
      </w:r>
      <w:bookmarkStart w:id="21" w:name="_Toc1845652780_WPSOffice_Level2Page"/>
      <w:r>
        <w:rPr>
          <w:rFonts w:hint="default" w:ascii="Times New Roman" w:hAnsi="Times New Roman" w:cs="Times New Roman"/>
          <w:b w:val="0"/>
          <w:bCs w:val="0"/>
          <w:sz w:val="28"/>
          <w:szCs w:val="28"/>
        </w:rPr>
        <w:t>35</w:t>
      </w:r>
      <w:bookmarkEnd w:id="21"/>
      <w:r>
        <w:rPr>
          <w:rFonts w:hint="default" w:ascii="Times New Roman" w:hAnsi="Times New Roman" w:cs="Times New Roman"/>
          <w:b w:val="0"/>
          <w:bCs w:val="0"/>
          <w:sz w:val="28"/>
          <w:szCs w:val="28"/>
        </w:rPr>
        <w:fldChar w:fldCharType="end"/>
      </w:r>
    </w:p>
    <w:p>
      <w:pPr>
        <w:pStyle w:val="22"/>
        <w:pageBreakBefore w:val="0"/>
        <w:tabs>
          <w:tab w:val="right" w:leader="dot" w:pos="8306"/>
        </w:tabs>
        <w:kinsoku/>
        <w:wordWrap/>
        <w:overflowPunct/>
        <w:topLinePunct w:val="0"/>
        <w:autoSpaceDE/>
        <w:autoSpaceDN/>
        <w:bidi w:val="0"/>
        <w:adjustRightInd/>
        <w:snapToGrid/>
        <w:spacing w:line="540" w:lineRule="exact"/>
        <w:textAlignment w:val="auto"/>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fldChar w:fldCharType="begin"/>
      </w:r>
      <w:r>
        <w:rPr>
          <w:rFonts w:hint="default" w:ascii="Times New Roman" w:hAnsi="Times New Roman" w:cs="Times New Roman"/>
          <w:b w:val="0"/>
          <w:bCs w:val="0"/>
          <w:sz w:val="28"/>
          <w:szCs w:val="28"/>
        </w:rPr>
        <w:instrText xml:space="preserve"> HYPERLINK \l _Toc695286305_WPSOffice_Level2 </w:instrText>
      </w:r>
      <w:r>
        <w:rPr>
          <w:rFonts w:hint="default" w:ascii="Times New Roman" w:hAnsi="Times New Roman" w:cs="Times New Roman"/>
          <w:b w:val="0"/>
          <w:bCs w:val="0"/>
          <w:sz w:val="28"/>
          <w:szCs w:val="28"/>
        </w:rPr>
        <w:fldChar w:fldCharType="separate"/>
      </w:r>
      <w:r>
        <w:rPr>
          <w:rFonts w:hint="default" w:ascii="Times New Roman" w:hAnsi="Times New Roman" w:eastAsia="楷体_GB2312" w:cs="Times New Roman"/>
          <w:b w:val="0"/>
          <w:bCs w:val="0"/>
          <w:sz w:val="28"/>
          <w:szCs w:val="28"/>
        </w:rPr>
        <w:t>（二）保障资金投入</w:t>
      </w:r>
      <w:r>
        <w:rPr>
          <w:rFonts w:hint="default" w:ascii="Times New Roman" w:hAnsi="Times New Roman" w:cs="Times New Roman"/>
          <w:b w:val="0"/>
          <w:bCs w:val="0"/>
          <w:sz w:val="28"/>
          <w:szCs w:val="28"/>
        </w:rPr>
        <w:tab/>
      </w:r>
      <w:bookmarkStart w:id="22" w:name="_Toc695286305_WPSOffice_Level2Page"/>
      <w:r>
        <w:rPr>
          <w:rFonts w:hint="default" w:ascii="Times New Roman" w:hAnsi="Times New Roman" w:cs="Times New Roman"/>
          <w:b w:val="0"/>
          <w:bCs w:val="0"/>
          <w:sz w:val="28"/>
          <w:szCs w:val="28"/>
        </w:rPr>
        <w:t>36</w:t>
      </w:r>
      <w:bookmarkEnd w:id="22"/>
      <w:r>
        <w:rPr>
          <w:rFonts w:hint="default" w:ascii="Times New Roman" w:hAnsi="Times New Roman" w:cs="Times New Roman"/>
          <w:b w:val="0"/>
          <w:bCs w:val="0"/>
          <w:sz w:val="28"/>
          <w:szCs w:val="28"/>
        </w:rPr>
        <w:fldChar w:fldCharType="end"/>
      </w:r>
    </w:p>
    <w:p>
      <w:pPr>
        <w:pStyle w:val="22"/>
        <w:pageBreakBefore w:val="0"/>
        <w:tabs>
          <w:tab w:val="right" w:leader="dot" w:pos="8306"/>
        </w:tabs>
        <w:kinsoku/>
        <w:wordWrap/>
        <w:overflowPunct/>
        <w:topLinePunct w:val="0"/>
        <w:autoSpaceDE/>
        <w:autoSpaceDN/>
        <w:bidi w:val="0"/>
        <w:adjustRightInd/>
        <w:snapToGrid/>
        <w:spacing w:line="540" w:lineRule="exact"/>
        <w:textAlignment w:val="auto"/>
        <w:rPr>
          <w:rFonts w:hint="default"/>
        </w:rPr>
        <w:sectPr>
          <w:footerReference r:id="rId7" w:type="default"/>
          <w:pgSz w:w="11906" w:h="16838"/>
          <w:pgMar w:top="1440" w:right="1800" w:bottom="1440" w:left="1800" w:header="851" w:footer="992" w:gutter="0"/>
          <w:pgNumType w:fmt="numberInDash" w:start="1"/>
          <w:cols w:space="720" w:num="1"/>
          <w:docGrid w:type="lines" w:linePitch="312" w:charSpace="0"/>
        </w:sectPr>
      </w:pPr>
      <w:r>
        <w:rPr>
          <w:rFonts w:hint="default" w:ascii="Times New Roman" w:hAnsi="Times New Roman" w:cs="Times New Roman"/>
          <w:b w:val="0"/>
          <w:bCs w:val="0"/>
          <w:sz w:val="28"/>
          <w:szCs w:val="28"/>
        </w:rPr>
        <w:fldChar w:fldCharType="begin"/>
      </w:r>
      <w:r>
        <w:rPr>
          <w:rFonts w:hint="default" w:ascii="Times New Roman" w:hAnsi="Times New Roman" w:cs="Times New Roman"/>
          <w:b w:val="0"/>
          <w:bCs w:val="0"/>
          <w:sz w:val="28"/>
          <w:szCs w:val="28"/>
        </w:rPr>
        <w:instrText xml:space="preserve"> HYPERLINK \l _Toc1929504138_WPSOffice_Level2 </w:instrText>
      </w:r>
      <w:r>
        <w:rPr>
          <w:rFonts w:hint="default" w:ascii="Times New Roman" w:hAnsi="Times New Roman" w:cs="Times New Roman"/>
          <w:b w:val="0"/>
          <w:bCs w:val="0"/>
          <w:sz w:val="28"/>
          <w:szCs w:val="28"/>
        </w:rPr>
        <w:fldChar w:fldCharType="separate"/>
      </w:r>
      <w:r>
        <w:rPr>
          <w:rFonts w:hint="default" w:ascii="Times New Roman" w:hAnsi="Times New Roman" w:eastAsia="楷体_GB2312" w:cs="Times New Roman"/>
          <w:b w:val="0"/>
          <w:bCs w:val="0"/>
          <w:sz w:val="28"/>
          <w:szCs w:val="28"/>
        </w:rPr>
        <w:t>（三）强化法治保障</w:t>
      </w:r>
      <w:r>
        <w:rPr>
          <w:rFonts w:hint="default" w:ascii="Times New Roman" w:hAnsi="Times New Roman" w:cs="Times New Roman"/>
          <w:b w:val="0"/>
          <w:bCs w:val="0"/>
          <w:sz w:val="28"/>
          <w:szCs w:val="28"/>
        </w:rPr>
        <w:tab/>
      </w:r>
      <w:bookmarkStart w:id="23" w:name="_Toc1929504138_WPSOffice_Level2Page"/>
      <w:r>
        <w:rPr>
          <w:rFonts w:hint="default" w:ascii="Times New Roman" w:hAnsi="Times New Roman" w:cs="Times New Roman"/>
          <w:b w:val="0"/>
          <w:bCs w:val="0"/>
          <w:sz w:val="28"/>
          <w:szCs w:val="28"/>
        </w:rPr>
        <w:t>36</w:t>
      </w:r>
      <w:bookmarkEnd w:id="23"/>
      <w:r>
        <w:rPr>
          <w:rFonts w:hint="default" w:ascii="Times New Roman" w:hAnsi="Times New Roman" w:cs="Times New Roman"/>
          <w:b w:val="0"/>
          <w:bCs w:val="0"/>
          <w:sz w:val="28"/>
          <w:szCs w:val="28"/>
        </w:rPr>
        <w:fldChar w:fldCharType="end"/>
      </w:r>
      <w:bookmarkEnd w:id="1"/>
    </w:p>
    <w:p>
      <w:pPr>
        <w:pStyle w:val="5"/>
        <w:spacing w:before="312" w:after="312"/>
        <w:jc w:val="center"/>
      </w:pPr>
      <w:bookmarkStart w:id="24" w:name="_Toc218626759_WPSOffice_Level1"/>
      <w:r>
        <w:rPr>
          <w:rFonts w:hint="eastAsia"/>
        </w:rPr>
        <w:t>一、前    言</w:t>
      </w:r>
      <w:bookmarkEnd w:id="24"/>
    </w:p>
    <w:p>
      <w:pPr>
        <w:ind w:firstLine="640"/>
        <w:rPr>
          <w:rFonts w:ascii="仿宋_GB2312" w:hAnsi="仿宋_GB2312" w:cs="仿宋_GB2312"/>
          <w:szCs w:val="32"/>
        </w:rPr>
      </w:pPr>
      <w:bookmarkStart w:id="25" w:name="_Toc76742843"/>
      <w:bookmarkEnd w:id="25"/>
      <w:bookmarkStart w:id="26" w:name="_Toc110648425_WPSOffice_Level1"/>
      <w:r>
        <w:rPr>
          <w:rFonts w:hint="eastAsia" w:ascii="仿宋_GB2312" w:hAnsi="仿宋_GB2312" w:cs="仿宋_GB2312"/>
          <w:szCs w:val="32"/>
        </w:rPr>
        <w:t>文物承载灿烂文明，传承历史文化，维系民族精神，是中华民族生生不息发展壮大的实物见证，是传承和弘扬中华优秀传统文化的历史根脉，是培育和践行社会主义核心价值观的深厚滋养，是推动经济社会发展的优势资源。保护文物功在当代，利在千秋。党的十八大以来，习近平总书记多次对文物工作做出重要论述和重要指示批示，九次视察北京、十四次对北京发表重要讲话，为做好新时代首都文物工作提供了根本遵循。</w:t>
      </w:r>
    </w:p>
    <w:p>
      <w:pPr>
        <w:ind w:firstLine="640"/>
        <w:rPr>
          <w:rFonts w:ascii="仿宋_GB2312" w:hAnsi="仿宋_GB2312" w:cs="仿宋_GB2312"/>
          <w:szCs w:val="32"/>
        </w:rPr>
      </w:pPr>
      <w:r>
        <w:rPr>
          <w:rFonts w:hint="eastAsia" w:ascii="仿宋_GB2312" w:hAnsi="仿宋_GB2312" w:cs="仿宋_GB2312"/>
          <w:szCs w:val="32"/>
        </w:rPr>
        <w:t>北京是世界著名古都，拥有3000多年建城史，860多年建都史，丰富</w:t>
      </w:r>
      <w:r>
        <w:rPr>
          <w:rFonts w:hint="eastAsia" w:ascii="仿宋_GB2312" w:hAnsi="仿宋_GB2312" w:cs="仿宋_GB2312"/>
          <w:szCs w:val="32"/>
          <w:lang w:eastAsia="zh-CN"/>
        </w:rPr>
        <w:t>的</w:t>
      </w:r>
      <w:r>
        <w:rPr>
          <w:rFonts w:hint="eastAsia" w:ascii="仿宋_GB2312" w:hAnsi="仿宋_GB2312" w:cs="仿宋_GB2312"/>
          <w:szCs w:val="32"/>
        </w:rPr>
        <w:t>历史文化遗产，是北京作为国际化大都市的重要资源。全市拥有世界文化遗产7处，不可移动文物3840处，登录国有可移动文物501万件（套）。全面贯彻“保护为主、抢救第一、合理利用、加强管理”的文物工作方针，统筹推进文物保护传承与经济社会发展，加大文物保护力度，合理利用好文物资源，让文物活起来，更好惠及人民群众，增强人民精神力量，是首都文物工作的职责使命。</w:t>
      </w:r>
    </w:p>
    <w:p>
      <w:pPr>
        <w:ind w:firstLine="640"/>
        <w:rPr>
          <w:rFonts w:ascii="仿宋_GB2312"/>
          <w:szCs w:val="32"/>
        </w:rPr>
      </w:pPr>
      <w:r>
        <w:rPr>
          <w:rFonts w:hint="eastAsia" w:ascii="仿宋_GB2312" w:hAnsi="仿宋_GB2312" w:cs="仿宋_GB2312"/>
          <w:szCs w:val="32"/>
        </w:rPr>
        <w:t>进入新发展阶段，做好首都文物工作，必须胸怀“国之大者”，深入贯彻新发展理念，融入新发展格局，高质量推进“一轴一城、两园三带、一区一中心”</w:t>
      </w:r>
      <w:r>
        <w:rPr>
          <w:rStyle w:val="16"/>
          <w:rFonts w:hint="eastAsia" w:ascii="仿宋_GB2312" w:hAnsi="仿宋_GB2312" w:cs="仿宋_GB2312"/>
          <w:szCs w:val="32"/>
        </w:rPr>
        <w:footnoteReference w:id="0"/>
      </w:r>
      <w:r>
        <w:rPr>
          <w:rFonts w:hint="eastAsia" w:ascii="仿宋_GB2312" w:hAnsi="仿宋_GB2312" w:cs="仿宋_GB2312"/>
          <w:szCs w:val="32"/>
        </w:rPr>
        <w:t>重点任务，在全国文化中心建设中发挥主力军作用。</w:t>
      </w:r>
    </w:p>
    <w:p>
      <w:pPr>
        <w:pStyle w:val="5"/>
        <w:spacing w:before="312" w:after="312"/>
      </w:pPr>
      <w:bookmarkStart w:id="27" w:name="_Toc649828375_WPSOffice_Level1"/>
      <w:r>
        <w:rPr>
          <w:rFonts w:hint="eastAsia"/>
        </w:rPr>
        <w:t>二、规划编制依据</w:t>
      </w:r>
      <w:bookmarkEnd w:id="26"/>
      <w:bookmarkEnd w:id="27"/>
    </w:p>
    <w:p>
      <w:pPr>
        <w:ind w:firstLine="640"/>
        <w:rPr>
          <w:rFonts w:ascii="仿宋_GB2312" w:hAnsi="仿宋_GB2312" w:cs="仿宋_GB2312"/>
          <w:szCs w:val="32"/>
        </w:rPr>
      </w:pPr>
      <w:r>
        <w:rPr>
          <w:rFonts w:hint="eastAsia" w:ascii="仿宋_GB2312" w:hAnsi="仿宋_GB2312" w:cs="仿宋_GB2312"/>
          <w:szCs w:val="32"/>
        </w:rPr>
        <w:t>1.《中华人民共和国文物保护法》</w:t>
      </w:r>
    </w:p>
    <w:p>
      <w:pPr>
        <w:ind w:firstLine="640"/>
        <w:rPr>
          <w:rFonts w:ascii="仿宋_GB2312" w:hAnsi="仿宋_GB2312" w:cs="仿宋_GB2312"/>
          <w:strike/>
          <w:color w:val="FF0000"/>
          <w:szCs w:val="32"/>
        </w:rPr>
      </w:pPr>
      <w:r>
        <w:rPr>
          <w:rFonts w:hint="eastAsia" w:ascii="仿宋_GB2312" w:hAnsi="仿宋_GB2312" w:cs="仿宋_GB2312"/>
          <w:szCs w:val="32"/>
        </w:rPr>
        <w:t>2.《中华人民共和国公共文化服务保障法》</w:t>
      </w:r>
    </w:p>
    <w:p>
      <w:pPr>
        <w:ind w:firstLine="640"/>
        <w:rPr>
          <w:rFonts w:ascii="仿宋_GB2312" w:hAnsi="仿宋_GB2312" w:cs="仿宋_GB2312"/>
          <w:szCs w:val="32"/>
        </w:rPr>
      </w:pPr>
      <w:r>
        <w:rPr>
          <w:rFonts w:hint="eastAsia" w:ascii="仿宋_GB2312" w:hAnsi="仿宋_GB2312" w:cs="仿宋_GB2312"/>
          <w:szCs w:val="32"/>
        </w:rPr>
        <w:t>3.《博物馆条例》（国务院令第659号）</w:t>
      </w:r>
    </w:p>
    <w:p>
      <w:pPr>
        <w:ind w:firstLine="640"/>
        <w:rPr>
          <w:rFonts w:ascii="仿宋_GB2312" w:hAnsi="仿宋_GB2312" w:cs="仿宋_GB2312"/>
          <w:szCs w:val="32"/>
        </w:rPr>
      </w:pPr>
      <w:r>
        <w:rPr>
          <w:rFonts w:ascii="仿宋_GB2312" w:hAnsi="仿宋_GB2312" w:cs="仿宋_GB2312"/>
          <w:szCs w:val="32"/>
        </w:rPr>
        <w:t>4.</w:t>
      </w:r>
      <w:r>
        <w:rPr>
          <w:rFonts w:hint="eastAsia" w:ascii="仿宋_GB2312" w:hAnsi="仿宋_GB2312" w:cs="仿宋_GB2312"/>
          <w:szCs w:val="32"/>
        </w:rPr>
        <w:t>中共中央办公厅 国务院办公厅《关于加强文物保护利用改革的若干意见》</w:t>
      </w:r>
    </w:p>
    <w:p>
      <w:pPr>
        <w:ind w:firstLine="640"/>
        <w:rPr>
          <w:rFonts w:ascii="仿宋_GB2312" w:hAnsi="仿宋_GB2312" w:cs="仿宋_GB2312"/>
          <w:szCs w:val="32"/>
        </w:rPr>
      </w:pPr>
      <w:r>
        <w:rPr>
          <w:rFonts w:ascii="仿宋_GB2312" w:hAnsi="仿宋_GB2312" w:cs="仿宋_GB2312"/>
          <w:szCs w:val="32"/>
        </w:rPr>
        <w:t>5.</w:t>
      </w:r>
      <w:r>
        <w:rPr>
          <w:rFonts w:hint="eastAsia" w:ascii="仿宋_GB2312" w:hAnsi="仿宋_GB2312" w:cs="仿宋_GB2312"/>
          <w:szCs w:val="32"/>
        </w:rPr>
        <w:t>中共中央办公厅 国务院办公厅《关于实施革命文物保护利用工程（2018-2022年）的意见》</w:t>
      </w:r>
    </w:p>
    <w:p>
      <w:pPr>
        <w:ind w:firstLine="640"/>
        <w:rPr>
          <w:rFonts w:ascii="仿宋_GB2312" w:hAnsi="仿宋_GB2312" w:cs="仿宋_GB2312"/>
          <w:strike/>
          <w:szCs w:val="32"/>
        </w:rPr>
      </w:pPr>
      <w:r>
        <w:rPr>
          <w:rFonts w:ascii="仿宋_GB2312" w:hAnsi="仿宋_GB2312" w:cs="仿宋_GB2312"/>
          <w:szCs w:val="32"/>
        </w:rPr>
        <w:t>6</w:t>
      </w:r>
      <w:r>
        <w:rPr>
          <w:rFonts w:hint="eastAsia" w:ascii="仿宋_GB2312" w:hAnsi="仿宋_GB2312" w:cs="仿宋_GB2312"/>
          <w:szCs w:val="32"/>
        </w:rPr>
        <w:t>.《北京城市总体规划（2016年-2035年）》</w:t>
      </w:r>
    </w:p>
    <w:p>
      <w:pPr>
        <w:ind w:firstLine="640"/>
        <w:rPr>
          <w:rFonts w:ascii="仿宋_GB2312" w:hAnsi="仿宋_GB2312" w:cs="仿宋_GB2312"/>
          <w:strike/>
          <w:szCs w:val="32"/>
        </w:rPr>
      </w:pPr>
      <w:r>
        <w:rPr>
          <w:rFonts w:ascii="仿宋_GB2312" w:hAnsi="仿宋_GB2312" w:cs="仿宋_GB2312"/>
          <w:szCs w:val="32"/>
        </w:rPr>
        <w:t>7</w:t>
      </w:r>
      <w:r>
        <w:rPr>
          <w:rFonts w:hint="eastAsia" w:ascii="仿宋_GB2312" w:hAnsi="仿宋_GB2312" w:cs="仿宋_GB2312"/>
          <w:szCs w:val="32"/>
        </w:rPr>
        <w:t>. 《首都功能核心区控制性详细规划（街区层面）（2018年-2035年）》</w:t>
      </w:r>
    </w:p>
    <w:p>
      <w:pPr>
        <w:ind w:firstLine="640"/>
        <w:rPr>
          <w:rFonts w:ascii="仿宋_GB2312" w:hAnsi="仿宋_GB2312" w:cs="仿宋_GB2312"/>
          <w:strike/>
          <w:szCs w:val="32"/>
        </w:rPr>
      </w:pPr>
      <w:r>
        <w:rPr>
          <w:rFonts w:ascii="仿宋_GB2312" w:hAnsi="仿宋_GB2312" w:cs="仿宋_GB2312"/>
          <w:szCs w:val="32"/>
        </w:rPr>
        <w:t>8</w:t>
      </w:r>
      <w:r>
        <w:rPr>
          <w:rFonts w:hint="eastAsia" w:ascii="仿宋_GB2312" w:hAnsi="仿宋_GB2312" w:cs="仿宋_GB2312"/>
          <w:szCs w:val="32"/>
        </w:rPr>
        <w:t>.</w:t>
      </w:r>
      <w:r>
        <w:rPr>
          <w:rFonts w:ascii="仿宋_GB2312" w:hAnsi="仿宋_GB2312" w:cs="仿宋_GB2312"/>
          <w:szCs w:val="32"/>
        </w:rPr>
        <w:t xml:space="preserve"> </w:t>
      </w:r>
      <w:r>
        <w:rPr>
          <w:rFonts w:hint="eastAsia" w:ascii="仿宋_GB2312" w:hAnsi="仿宋_GB2312" w:cs="仿宋_GB2312"/>
          <w:szCs w:val="32"/>
        </w:rPr>
        <w:t>《北京城市副中心控制性详细规划（街区层面）（2016年-2035年）》</w:t>
      </w:r>
    </w:p>
    <w:p>
      <w:pPr>
        <w:ind w:firstLine="640"/>
        <w:rPr>
          <w:rFonts w:ascii="仿宋_GB2312" w:hAnsi="仿宋_GB2312" w:cs="仿宋_GB2312"/>
          <w:szCs w:val="32"/>
        </w:rPr>
      </w:pPr>
      <w:r>
        <w:rPr>
          <w:rFonts w:ascii="仿宋_GB2312" w:hAnsi="仿宋_GB2312" w:cs="仿宋_GB2312"/>
          <w:szCs w:val="32"/>
        </w:rPr>
        <w:t>9</w:t>
      </w:r>
      <w:r>
        <w:rPr>
          <w:rFonts w:hint="eastAsia" w:ascii="仿宋_GB2312" w:hAnsi="仿宋_GB2312" w:cs="仿宋_GB2312"/>
          <w:szCs w:val="32"/>
        </w:rPr>
        <w:t>.《北京历史文化名城保护条例》</w:t>
      </w:r>
    </w:p>
    <w:p>
      <w:pPr>
        <w:ind w:firstLine="640"/>
        <w:rPr>
          <w:rFonts w:ascii="仿宋_GB2312" w:hAnsi="仿宋_GB2312" w:cs="仿宋_GB2312"/>
          <w:szCs w:val="32"/>
        </w:rPr>
      </w:pPr>
      <w:r>
        <w:rPr>
          <w:rFonts w:ascii="仿宋_GB2312" w:hAnsi="仿宋_GB2312" w:cs="仿宋_GB2312"/>
          <w:szCs w:val="32"/>
        </w:rPr>
        <w:t>10</w:t>
      </w:r>
      <w:r>
        <w:rPr>
          <w:rFonts w:hint="eastAsia" w:ascii="仿宋_GB2312" w:hAnsi="仿宋_GB2312" w:cs="仿宋_GB2312"/>
          <w:szCs w:val="32"/>
        </w:rPr>
        <w:t>.《北京市国民经济和社会发展第十四个五年规划和二〇三五年远景目标纲要》</w:t>
      </w:r>
    </w:p>
    <w:p>
      <w:pPr>
        <w:ind w:firstLine="640"/>
        <w:rPr>
          <w:rFonts w:ascii="仿宋_GB2312" w:hAnsi="仿宋_GB2312" w:cs="仿宋_GB2312"/>
          <w:szCs w:val="32"/>
        </w:rPr>
      </w:pPr>
      <w:r>
        <w:rPr>
          <w:rFonts w:ascii="仿宋_GB2312" w:hAnsi="仿宋_GB2312" w:cs="仿宋_GB2312"/>
          <w:szCs w:val="32"/>
        </w:rPr>
        <w:t>11</w:t>
      </w:r>
      <w:r>
        <w:rPr>
          <w:rFonts w:hint="eastAsia" w:ascii="仿宋_GB2312" w:hAnsi="仿宋_GB2312" w:cs="仿宋_GB2312"/>
          <w:szCs w:val="32"/>
        </w:rPr>
        <w:t>.北京市推进全国文化中心建设领导小组《关于加强文物保护利用改革的实施意见》</w:t>
      </w:r>
    </w:p>
    <w:p>
      <w:pPr>
        <w:ind w:firstLine="640"/>
        <w:rPr>
          <w:rFonts w:ascii="仿宋_GB2312" w:hAnsi="仿宋_GB2312" w:cs="仿宋_GB2312"/>
          <w:szCs w:val="32"/>
        </w:rPr>
      </w:pPr>
      <w:r>
        <w:rPr>
          <w:rFonts w:ascii="仿宋_GB2312" w:hAnsi="仿宋_GB2312" w:cs="仿宋_GB2312"/>
          <w:szCs w:val="32"/>
        </w:rPr>
        <w:t>12.</w:t>
      </w:r>
      <w:r>
        <w:rPr>
          <w:rFonts w:hint="eastAsia" w:ascii="仿宋_GB2312" w:hAnsi="仿宋_GB2312" w:cs="仿宋_GB2312"/>
          <w:szCs w:val="32"/>
        </w:rPr>
        <w:t>北京市推进全国文化中心建设领导小组《北京市关于推进革命文物保护利用工程（2018-2022年）的实施方案》</w:t>
      </w:r>
    </w:p>
    <w:p>
      <w:pPr>
        <w:ind w:firstLine="640"/>
        <w:rPr>
          <w:rFonts w:ascii="仿宋_GB2312" w:hAnsi="仿宋_GB2312" w:cs="仿宋_GB2312"/>
          <w:szCs w:val="32"/>
        </w:rPr>
      </w:pPr>
      <w:r>
        <w:rPr>
          <w:rFonts w:hint="eastAsia" w:ascii="仿宋_GB2312" w:hAnsi="仿宋_GB2312" w:cs="仿宋_GB2312"/>
          <w:szCs w:val="32"/>
        </w:rPr>
        <w:t>1</w:t>
      </w:r>
      <w:r>
        <w:rPr>
          <w:rFonts w:ascii="仿宋_GB2312" w:hAnsi="仿宋_GB2312" w:cs="仿宋_GB2312"/>
          <w:szCs w:val="32"/>
        </w:rPr>
        <w:t>3</w:t>
      </w:r>
      <w:r>
        <w:rPr>
          <w:rFonts w:hint="eastAsia" w:ascii="仿宋_GB2312" w:hAnsi="仿宋_GB2312" w:cs="仿宋_GB2312"/>
          <w:szCs w:val="32"/>
        </w:rPr>
        <w:t>.《北京市推进全国文化中心建设中长期规划（2019年-2035年）》</w:t>
      </w:r>
    </w:p>
    <w:p>
      <w:pPr>
        <w:ind w:firstLine="0" w:firstLineChars="0"/>
        <w:rPr>
          <w:rFonts w:ascii="仿宋_GB2312" w:hAnsi="仿宋_GB2312" w:cs="仿宋_GB2312"/>
          <w:szCs w:val="32"/>
        </w:rPr>
      </w:pPr>
    </w:p>
    <w:p>
      <w:pPr>
        <w:pStyle w:val="5"/>
        <w:spacing w:before="312" w:after="312"/>
      </w:pPr>
      <w:bookmarkStart w:id="28" w:name="_Toc76742844"/>
      <w:bookmarkEnd w:id="28"/>
      <w:bookmarkStart w:id="29" w:name="_Toc1148267475_WPSOffice_Level1"/>
      <w:bookmarkStart w:id="30" w:name="_Toc26930807_WPSOffice_Level1"/>
      <w:r>
        <w:rPr>
          <w:rFonts w:hint="eastAsia"/>
        </w:rPr>
        <w:t>三、“十三五”时期工作成就</w:t>
      </w:r>
      <w:bookmarkEnd w:id="29"/>
      <w:bookmarkEnd w:id="30"/>
    </w:p>
    <w:p>
      <w:pPr>
        <w:widowControl/>
        <w:ind w:firstLine="643"/>
        <w:rPr>
          <w:rFonts w:ascii="仿宋_GB2312" w:hAnsi="仿宋_GB2312" w:cs="仿宋_GB2312"/>
          <w:szCs w:val="32"/>
        </w:rPr>
      </w:pPr>
      <w:r>
        <w:rPr>
          <w:rFonts w:hint="eastAsia" w:ascii="仿宋_GB2312" w:hAnsi="仿宋_GB2312" w:cs="仿宋_GB2312"/>
          <w:b/>
          <w:szCs w:val="32"/>
        </w:rPr>
        <w:t>文物保护重点工作成效显著。</w:t>
      </w:r>
      <w:r>
        <w:rPr>
          <w:rFonts w:hint="eastAsia" w:ascii="仿宋_GB2312" w:hAnsi="仿宋_GB2312" w:cs="仿宋_GB2312"/>
          <w:szCs w:val="32"/>
        </w:rPr>
        <w:t>制定实施《北京市人民政府关于进一步加强文物工作的实施意见》《关于加强文物保护利用改革的实施意见》，不断完善首都文物保护工作顶层设计。加快推进北京中轴线申遗工作，编制《北京中轴线保护规划》《北京中轴线申报世界遗产名录文本》等系列文件，明确了中轴线申遗时间表路线图。坚持以中轴线申遗保护为抓手，推动老城整体保护与复兴。制定实施《北京市关于推进革命文物保护利用工程（2018-2022年）的实施方案》，完成北京香山革命纪念地、天安门城楼及城台等革命文物修缮，革命传统和革命精神得以弘扬，激发了广大人民群众的爱国热情。</w:t>
      </w:r>
      <w:r>
        <w:rPr>
          <w:rFonts w:hint="eastAsia" w:ascii="仿宋_GB2312" w:hAnsi="仿宋_GB2312" w:cs="仿宋_GB2312"/>
          <w:bCs/>
          <w:szCs w:val="32"/>
        </w:rPr>
        <w:t>创造性提出大运河、长城、西山永定河“三条文化带”，公布</w:t>
      </w:r>
      <w:r>
        <w:rPr>
          <w:rFonts w:hint="eastAsia" w:ascii="仿宋_GB2312" w:hAnsi="仿宋_GB2312" w:cs="仿宋_GB2312"/>
          <w:szCs w:val="32"/>
        </w:rPr>
        <w:t>专项保护发展规划，实施了一批重点文物保护工程和综合整治项目，丰富了整体保护、融合发展的文物工作理念。海淀三山五园列入首批国家文物保护利用示范区创建名单，文物保护利用对区域经济社会发展的促进作用持续彰显。</w:t>
      </w:r>
    </w:p>
    <w:p>
      <w:pPr>
        <w:widowControl/>
        <w:ind w:firstLine="643"/>
        <w:rPr>
          <w:rFonts w:ascii="仿宋_GB2312" w:hAnsi="仿宋_GB2312" w:cs="仿宋_GB2312"/>
          <w:szCs w:val="32"/>
        </w:rPr>
      </w:pPr>
      <w:r>
        <w:rPr>
          <w:rFonts w:hint="eastAsia" w:ascii="仿宋_GB2312" w:hAnsi="仿宋_GB2312" w:cs="仿宋_GB2312"/>
          <w:b/>
          <w:szCs w:val="32"/>
        </w:rPr>
        <w:t>文物保护修缮工作扎实推进。</w:t>
      </w:r>
      <w:r>
        <w:rPr>
          <w:rFonts w:hint="eastAsia" w:ascii="仿宋_GB2312" w:hAnsi="仿宋_GB2312" w:cs="仿宋_GB2312"/>
          <w:szCs w:val="32"/>
        </w:rPr>
        <w:t>五年累计投入文物保护资金近百亿元，相继实施近百项文物修缮和环境整治工程，对近百处文物进行保护性腾退,文物保护状况得到明显改善。文物保护质量监督管理系统上线运行，大运河、长城、故宫、颐和园、十三陵、天坛、周口店北京人遗址7处世界文化遗产保护管理和展示水平不断提升，全市拥有全国重点文物保护单位数量增加至135处。圆满完成第一次全国可移动文物普查，登录国有可移动文物501万件（套），新发现、新认定文物藏品总数160万件（套），均位居全国第一。</w:t>
      </w:r>
    </w:p>
    <w:p>
      <w:pPr>
        <w:ind w:firstLine="643"/>
        <w:rPr>
          <w:rFonts w:ascii="仿宋_GB2312" w:hAnsi="仿宋_GB2312" w:cs="仿宋_GB2312"/>
          <w:szCs w:val="32"/>
        </w:rPr>
      </w:pPr>
      <w:r>
        <w:rPr>
          <w:rFonts w:hint="eastAsia" w:ascii="仿宋_GB2312" w:hAnsi="仿宋_GB2312" w:cs="仿宋_GB2312"/>
          <w:b/>
          <w:szCs w:val="32"/>
        </w:rPr>
        <w:t>考古和历史研究成果丰硕。</w:t>
      </w:r>
      <w:r>
        <w:rPr>
          <w:rFonts w:hint="eastAsia" w:ascii="仿宋_GB2312" w:hAnsi="仿宋_GB2312" w:cs="仿宋_GB2312"/>
          <w:szCs w:val="32"/>
        </w:rPr>
        <w:t>完成考古勘探项目937项，勘探面积9714万平方米；完成发掘项目373项，发掘面积约41万平方米，考古项目数量和面积均位居全国前列，有效保障了城市副中心、大兴国际机场、世园会、冬奥会等国家重大工程建设。多处重要遗址得到有效保护，汉代路县故城遗址获评2016年度全国十大考古新发现。一批重要考古研究成果涌现，对中华文明和北京文脉的认知不断深入。</w:t>
      </w:r>
    </w:p>
    <w:p>
      <w:pPr>
        <w:ind w:firstLine="643"/>
        <w:rPr>
          <w:rFonts w:ascii="仿宋_GB2312" w:hAnsi="仿宋_GB2312" w:cs="仿宋_GB2312"/>
          <w:szCs w:val="32"/>
        </w:rPr>
      </w:pPr>
      <w:r>
        <w:rPr>
          <w:rFonts w:hint="eastAsia" w:ascii="仿宋_GB2312" w:hAnsi="仿宋_GB2312" w:cs="仿宋_GB2312"/>
          <w:b/>
          <w:szCs w:val="32"/>
        </w:rPr>
        <w:t>博物馆公共服务水平显著提升</w:t>
      </w:r>
      <w:r>
        <w:rPr>
          <w:rFonts w:hint="eastAsia" w:ascii="仿宋_GB2312" w:hAnsi="仿宋_GB2312" w:cs="仿宋_GB2312"/>
          <w:szCs w:val="32"/>
        </w:rPr>
        <w:t>。深入贯彻落实国务院颁布的《博物馆条例》，加速推进博物馆体系建设，全市备案博物馆</w:t>
      </w:r>
      <w:r>
        <w:rPr>
          <w:rFonts w:hint="eastAsia" w:ascii="仿宋_GB2312" w:hAnsi="仿宋_GB2312" w:cs="仿宋_GB2312"/>
          <w:szCs w:val="32"/>
          <w:lang w:eastAsia="zh-CN"/>
        </w:rPr>
        <w:t>达</w:t>
      </w:r>
      <w:r>
        <w:rPr>
          <w:rFonts w:hint="eastAsia" w:ascii="仿宋_GB2312" w:hAnsi="仿宋_GB2312" w:cs="仿宋_GB2312"/>
          <w:szCs w:val="32"/>
        </w:rPr>
        <w:t>197家。北京市博物馆大数据平台上线，博物馆策展水平不断提升，年均接待观众超过5000万人次，为传承中华优秀传统文化、弘扬社会主义核心价值观提供了深厚滋养。博物馆文创产品开发试点工作持续推进，通过支持北京文博衍生品创新孵化中心平台建设、举办北京文博创意设计大赛，</w:t>
      </w:r>
      <w:r>
        <w:rPr>
          <w:rFonts w:hint="eastAsia" w:ascii="仿宋_GB2312" w:hAnsi="仿宋_GB2312" w:cs="仿宋_GB2312"/>
          <w:szCs w:val="32"/>
          <w:lang w:eastAsia="zh-CN"/>
        </w:rPr>
        <w:t>使</w:t>
      </w:r>
      <w:r>
        <w:rPr>
          <w:rFonts w:hint="eastAsia" w:ascii="仿宋_GB2312" w:hAnsi="仿宋_GB2312" w:cs="仿宋_GB2312"/>
          <w:szCs w:val="32"/>
        </w:rPr>
        <w:t>博物馆文创开发更具创新活力。</w:t>
      </w:r>
    </w:p>
    <w:p>
      <w:pPr>
        <w:ind w:firstLine="643"/>
        <w:rPr>
          <w:rFonts w:ascii="仿宋_GB2312" w:hAnsi="仿宋_GB2312" w:cs="仿宋_GB2312"/>
          <w:color w:val="FF0000"/>
          <w:szCs w:val="32"/>
        </w:rPr>
      </w:pPr>
      <w:r>
        <w:rPr>
          <w:rFonts w:hint="eastAsia" w:ascii="仿宋_GB2312" w:hAnsi="仿宋_GB2312" w:cs="仿宋_GB2312"/>
          <w:b/>
          <w:szCs w:val="32"/>
        </w:rPr>
        <w:t>文物艺术品市场繁荣发展</w:t>
      </w:r>
      <w:r>
        <w:rPr>
          <w:rFonts w:hint="eastAsia" w:ascii="仿宋_GB2312" w:hAnsi="仿宋_GB2312" w:cs="仿宋_GB2312"/>
          <w:szCs w:val="32"/>
        </w:rPr>
        <w:t>。全市文物艺术品经营单位近4</w:t>
      </w:r>
      <w:r>
        <w:rPr>
          <w:rFonts w:ascii="仿宋_GB2312" w:hAnsi="仿宋_GB2312" w:cs="仿宋_GB2312"/>
          <w:szCs w:val="32"/>
        </w:rPr>
        <w:t>00</w:t>
      </w:r>
      <w:r>
        <w:rPr>
          <w:rFonts w:hint="eastAsia" w:ascii="仿宋_GB2312" w:hAnsi="仿宋_GB2312" w:cs="仿宋_GB2312"/>
          <w:szCs w:val="32"/>
        </w:rPr>
        <w:t>家，文物艺术品拍卖年均超过800场，较“十二五”时期翻了两番。网络拍卖快速发展，拍卖企业数量和年成交额始终在全国处于领先地位。打造北京·中国文物国际博览会、金秋文物艺术品拍卖月等活动品牌，扩大合作渠道，繁荣文物艺术品市场。北京市文物进出境审核部门进驻天竺综合保税区，优化文物进出境审核服务，支持全市服务业扩大开放。</w:t>
      </w:r>
    </w:p>
    <w:p>
      <w:pPr>
        <w:ind w:firstLine="643"/>
        <w:rPr>
          <w:rFonts w:ascii="仿宋_GB2312" w:hAnsi="仿宋_GB2312" w:cs="仿宋_GB2312"/>
          <w:szCs w:val="32"/>
        </w:rPr>
      </w:pPr>
      <w:r>
        <w:rPr>
          <w:rFonts w:hint="eastAsia" w:ascii="仿宋_GB2312" w:hAnsi="仿宋_GB2312" w:cs="仿宋_GB2312"/>
          <w:b/>
          <w:szCs w:val="32"/>
        </w:rPr>
        <w:t>文物安全监察执法持续强化。</w:t>
      </w:r>
      <w:r>
        <w:rPr>
          <w:rFonts w:hint="eastAsia" w:ascii="仿宋_GB2312" w:hAnsi="仿宋_GB2312" w:cs="仿宋_GB2312"/>
          <w:szCs w:val="32"/>
        </w:rPr>
        <w:t>加大文物安全巡查检查和执法力度，完善文物安全工作长效机制。扎实推进文物安全隐患治理，每年开展市、区两级执法检查、安全巡查逾万次，累计查处办理行政处罚案件40</w:t>
      </w:r>
      <w:r>
        <w:rPr>
          <w:rFonts w:hint="eastAsia" w:ascii="仿宋_GB2312" w:hAnsi="仿宋_GB2312" w:cs="仿宋_GB2312"/>
          <w:szCs w:val="32"/>
          <w:lang w:eastAsia="zh-CN"/>
        </w:rPr>
        <w:t>起</w:t>
      </w:r>
      <w:r>
        <w:rPr>
          <w:rFonts w:hint="eastAsia" w:ascii="仿宋_GB2312" w:hAnsi="仿宋_GB2312" w:cs="仿宋_GB2312"/>
          <w:szCs w:val="32"/>
        </w:rPr>
        <w:t>。建立京津冀文物执法协调合作机制，加大长城保护执法</w:t>
      </w:r>
      <w:r>
        <w:rPr>
          <w:rFonts w:hint="eastAsia" w:ascii="仿宋_GB2312" w:hAnsi="仿宋_GB2312" w:cs="仿宋_GB2312"/>
          <w:szCs w:val="32"/>
          <w:lang w:eastAsia="zh-CN"/>
        </w:rPr>
        <w:t>督察</w:t>
      </w:r>
      <w:r>
        <w:rPr>
          <w:rFonts w:hint="eastAsia" w:ascii="仿宋_GB2312" w:hAnsi="仿宋_GB2312" w:cs="仿宋_GB2312"/>
          <w:szCs w:val="32"/>
        </w:rPr>
        <w:t>力度。文物部门联合公安机关打击文物违法犯罪案件10余起，形成有力震慑。联合北京海关建立罚没文物移交机制。</w:t>
      </w:r>
    </w:p>
    <w:p>
      <w:pPr>
        <w:ind w:firstLine="643"/>
        <w:rPr>
          <w:rFonts w:ascii="仿宋_GB2312" w:hAnsi="仿宋_GB2312" w:cs="仿宋_GB2312"/>
          <w:bCs/>
          <w:szCs w:val="32"/>
        </w:rPr>
      </w:pPr>
      <w:r>
        <w:rPr>
          <w:rFonts w:hint="eastAsia" w:ascii="仿宋_GB2312" w:hAnsi="仿宋_GB2312" w:cs="仿宋_GB2312"/>
          <w:b/>
          <w:szCs w:val="32"/>
        </w:rPr>
        <w:t>机构设置和人才队伍不断优化。</w:t>
      </w:r>
      <w:r>
        <w:rPr>
          <w:rFonts w:hint="eastAsia" w:ascii="仿宋_GB2312" w:hAnsi="仿宋_GB2312" w:cs="仿宋_GB2312"/>
          <w:bCs/>
          <w:szCs w:val="32"/>
        </w:rPr>
        <w:t>增强中轴线申遗保护、世界文化遗产管理、革命文物保护、文物监察执法、文物工程质量监督工作力量；配合全市深化综合行政执法改革，完成北京市文物监察执法队转隶；稳步推进经营类事业单位改革，北京市文物公司全面启动改制工作。文博人才队伍建设取得长足进步，队伍结构得到改善。持续加大培训力度，举办全市文博行业专业技术和管理人员、文物保护利用等系列主题培训，年培训超过2000人次，人才队伍专业化水平得到提升。完善专业技术人才分类评价机制，突出专业能力和工作实绩，充分调动人才积极性和创造性，为国家文博职称改革提供了经验借鉴。</w:t>
      </w:r>
    </w:p>
    <w:p>
      <w:pPr>
        <w:ind w:firstLine="640"/>
        <w:rPr>
          <w:rFonts w:ascii="仿宋_GB2312" w:hAnsi="仿宋_GB2312" w:cs="仿宋_GB2312"/>
          <w:szCs w:val="32"/>
        </w:rPr>
      </w:pPr>
    </w:p>
    <w:p>
      <w:pPr>
        <w:pStyle w:val="5"/>
        <w:spacing w:before="312" w:after="312"/>
      </w:pPr>
      <w:bookmarkStart w:id="31" w:name="_Toc76742845"/>
      <w:bookmarkEnd w:id="31"/>
      <w:bookmarkStart w:id="32" w:name="_Toc19478465_WPSOffice_Level1"/>
      <w:bookmarkStart w:id="33" w:name="_Toc646272642_WPSOffice_Level1"/>
      <w:bookmarkStart w:id="34" w:name="_Toc1789418812_WPSOffice_Level1"/>
      <w:r>
        <w:rPr>
          <w:rFonts w:hint="eastAsia"/>
        </w:rPr>
        <w:t>四、“十四五”时期发展形势</w:t>
      </w:r>
      <w:bookmarkEnd w:id="32"/>
      <w:bookmarkEnd w:id="33"/>
    </w:p>
    <w:p>
      <w:pPr>
        <w:ind w:firstLine="640"/>
        <w:rPr>
          <w:rFonts w:ascii="仿宋_GB2312" w:hAnsi="仿宋_GB2312" w:cs="仿宋_GB2312"/>
          <w:szCs w:val="32"/>
        </w:rPr>
      </w:pPr>
      <w:r>
        <w:rPr>
          <w:rFonts w:hint="eastAsia" w:ascii="仿宋_GB2312" w:hAnsi="仿宋_GB2312" w:cs="仿宋_GB2312"/>
          <w:szCs w:val="32"/>
        </w:rPr>
        <w:t>“十四五”时期是我国全面建成小康社会、实现第一个百年奋斗目标之后，乘势而上开启全面建设社会主义现代化国家新征程、向第二个百年奋斗目标进军的第一个五年，我国将进入新发展阶段。</w:t>
      </w:r>
    </w:p>
    <w:p>
      <w:pPr>
        <w:ind w:firstLine="640"/>
        <w:rPr>
          <w:rFonts w:ascii="仿宋_GB2312" w:hAnsi="仿宋_GB2312" w:cs="仿宋_GB2312"/>
          <w:szCs w:val="32"/>
        </w:rPr>
      </w:pPr>
      <w:r>
        <w:rPr>
          <w:rFonts w:hint="eastAsia" w:ascii="仿宋_GB2312" w:hAnsi="仿宋_GB2312" w:cs="仿宋_GB2312"/>
          <w:szCs w:val="32"/>
        </w:rPr>
        <w:t>从国际看，当今世界正经历百年未有之大变局，国际形势风云变幻，多种文明多种潮流在交锋交流中共存，对国际话语权的争夺也空前激烈，但“东升西降”的总体态势不可逆转</w:t>
      </w:r>
      <w:r>
        <w:rPr>
          <w:rFonts w:hint="eastAsia" w:ascii="仿宋_GB2312" w:hAnsi="仿宋_GB2312" w:cs="仿宋_GB2312"/>
          <w:szCs w:val="32"/>
          <w:lang w:eastAsia="zh-CN"/>
        </w:rPr>
        <w:t>。</w:t>
      </w:r>
      <w:r>
        <w:rPr>
          <w:rFonts w:hint="eastAsia" w:ascii="仿宋_GB2312" w:hAnsi="仿宋_GB2312" w:cs="仿宋_GB2312"/>
          <w:szCs w:val="32"/>
        </w:rPr>
        <w:t>一个具有博大精深历史文化的中国，一个繁荣发展、充满机遇的中国，一个勇于承担国际义务、国际责任的中国，既需要文博工作更好发挥作用，讲好文物故事，也为文博工作讲好中国故事营造了良好氛围。北京作为日益走向世界舞台中央的大国首都，文源深、文脉广，讲好北京文物故事，有利于讲好我们历史底蕴深厚、民族多元一体、文化多样和谐的文明大国故事，推动中华文化走向世界。</w:t>
      </w:r>
    </w:p>
    <w:p>
      <w:pPr>
        <w:ind w:firstLine="640"/>
        <w:rPr>
          <w:rFonts w:ascii="仿宋_GB2312" w:hAnsi="仿宋_GB2312" w:cs="仿宋_GB2312"/>
          <w:szCs w:val="32"/>
        </w:rPr>
      </w:pPr>
      <w:r>
        <w:rPr>
          <w:rFonts w:hint="eastAsia" w:ascii="仿宋_GB2312" w:hAnsi="仿宋_GB2312" w:cs="仿宋_GB2312"/>
          <w:szCs w:val="32"/>
        </w:rPr>
        <w:t>从国内看，文博工作在“五位一体”总体布局和“四个全面”战略布局中的地位愈加重要。中华文化发展繁荣是中华民族伟大复兴的重要条件，是加强社会主义精神文明建设的深厚滋养。保护历史文物是传承中华优秀传统文化的必然要求。党的十八大以来，习近平总书记多次就文物保护工作作出重要指示批示，对提升文物保护水平提出了更高要求。各级党委、政府对文物工作的重视程度大大提高，各级领导干部和社会各界的文物保护意识越来越强，这些都为“十四五”时期文博工作的</w:t>
      </w:r>
      <w:r>
        <w:rPr>
          <w:rFonts w:hint="eastAsia" w:ascii="仿宋_GB2312" w:hAnsi="仿宋_GB2312" w:cs="仿宋_GB2312"/>
          <w:szCs w:val="32"/>
          <w:lang w:eastAsia="zh-CN"/>
        </w:rPr>
        <w:t>开</w:t>
      </w:r>
      <w:r>
        <w:rPr>
          <w:rFonts w:hint="eastAsia" w:ascii="仿宋_GB2312" w:hAnsi="仿宋_GB2312" w:cs="仿宋_GB2312"/>
          <w:szCs w:val="32"/>
        </w:rPr>
        <w:t>展营造了良好环境。北京作为全国文化中心，擦亮历史文化金名片已成为社会共识，首都文博工作面临历史最好发展机遇</w:t>
      </w:r>
      <w:r>
        <w:rPr>
          <w:rFonts w:hint="eastAsia" w:ascii="仿宋_GB2312" w:hAnsi="仿宋_GB2312" w:cs="仿宋_GB2312"/>
          <w:szCs w:val="32"/>
          <w:lang w:eastAsia="zh-CN"/>
        </w:rPr>
        <w:t>期</w:t>
      </w:r>
      <w:r>
        <w:rPr>
          <w:rFonts w:hint="eastAsia" w:ascii="仿宋_GB2312" w:hAnsi="仿宋_GB2312" w:cs="仿宋_GB2312"/>
          <w:szCs w:val="32"/>
        </w:rPr>
        <w:t>。我们必须乘势而上，加强文博工作顶层设计，深化文物保护利用改革，为丰富人民精神文化生活、增强人民精神力量，提供高质量的文化产品。</w:t>
      </w:r>
    </w:p>
    <w:p>
      <w:pPr>
        <w:ind w:firstLine="640"/>
        <w:rPr>
          <w:rFonts w:ascii="仿宋_GB2312" w:hAnsi="仿宋_GB2312" w:cs="仿宋_GB2312"/>
          <w:szCs w:val="32"/>
        </w:rPr>
      </w:pPr>
      <w:r>
        <w:rPr>
          <w:rFonts w:hint="eastAsia" w:ascii="仿宋_GB2312" w:hAnsi="仿宋_GB2312" w:cs="仿宋_GB2312"/>
          <w:szCs w:val="32"/>
        </w:rPr>
        <w:t>同时，我们也清醒地看到，长期以来制约文博事业发展的一些瓶颈问题在“十四五”时期依然存在，某些短板、弱项在事业大踏步发展的形势下还可能放大。主要表现在：考古工作方面，因为基建考古任务日趋增长而导致主动考古工作日渐萎缩，研究力量不足的短板日益凸显，导致北京在中华文明起源与早期发展中的作用研究、考古遗址的科学展示等方面聚焦不够；不可移动文物保护利用方面，保护修缮的难题相对缓解，但随着全国文化中心建设步伐的加快，文物活化利用方面的压力骤然加大，社会各界希望深挖文物内涵、阐释文物价值、讲好文物故事，但文博领域创新能力不强、方法不多的短板明显在供给侧成为弱项，</w:t>
      </w:r>
      <w:r>
        <w:rPr>
          <w:rFonts w:hint="eastAsia" w:ascii="仿宋_GB2312" w:hAnsi="仿宋_GB2312" w:cs="仿宋_GB2312"/>
          <w:szCs w:val="32"/>
          <w:lang w:eastAsia="zh-CN"/>
        </w:rPr>
        <w:t>亟须</w:t>
      </w:r>
      <w:r>
        <w:rPr>
          <w:rFonts w:hint="eastAsia" w:ascii="仿宋_GB2312" w:hAnsi="仿宋_GB2312" w:cs="仿宋_GB2312"/>
          <w:szCs w:val="32"/>
        </w:rPr>
        <w:t>创新体制机制，吸引更多社会力量加入；文物安全方面，安全形势依然严峻，文物保护主体责任落实不到位、安全管理</w:t>
      </w:r>
      <w:r>
        <w:rPr>
          <w:rFonts w:hint="eastAsia" w:ascii="仿宋_GB2312" w:hAnsi="仿宋_GB2312" w:cs="仿宋_GB2312"/>
          <w:szCs w:val="32"/>
          <w:lang w:eastAsia="zh-CN"/>
        </w:rPr>
        <w:t>存在</w:t>
      </w:r>
      <w:r>
        <w:rPr>
          <w:rFonts w:hint="eastAsia" w:ascii="仿宋_GB2312" w:hAnsi="仿宋_GB2312" w:cs="仿宋_GB2312"/>
          <w:szCs w:val="32"/>
        </w:rPr>
        <w:t>隐患和漏洞等问题依然</w:t>
      </w:r>
      <w:r>
        <w:rPr>
          <w:rFonts w:hint="eastAsia" w:ascii="仿宋_GB2312" w:hAnsi="仿宋_GB2312" w:cs="仿宋_GB2312"/>
          <w:szCs w:val="32"/>
          <w:lang w:eastAsia="zh-CN"/>
        </w:rPr>
        <w:t>突出</w:t>
      </w:r>
      <w:r>
        <w:rPr>
          <w:rFonts w:hint="eastAsia" w:ascii="仿宋_GB2312" w:hAnsi="仿宋_GB2312" w:cs="仿宋_GB2312"/>
          <w:szCs w:val="32"/>
        </w:rPr>
        <w:t>，防灾减灾能力仍需增强；机构队伍方面，文博机构队伍相对薄弱，“小马拉大车”现象仍然突出，尤其是文博领域高层次人才、行业领军人才匮乏，优秀专业技术人才储备不足，机构建设和队伍能力还不能满足文博工作高质量发展的内在需求。</w:t>
      </w:r>
    </w:p>
    <w:p>
      <w:pPr>
        <w:ind w:firstLine="640"/>
        <w:rPr>
          <w:rFonts w:ascii="仿宋_GB2312" w:hAnsi="仿宋_GB2312" w:cs="仿宋_GB2312"/>
          <w:szCs w:val="32"/>
        </w:rPr>
      </w:pPr>
      <w:r>
        <w:rPr>
          <w:rFonts w:hint="eastAsia" w:ascii="仿宋_GB2312" w:hAnsi="仿宋_GB2312" w:cs="仿宋_GB2312"/>
          <w:szCs w:val="32"/>
        </w:rPr>
        <w:t>“十四五”期间，我们必须坚持问题导向、目标导向、效果导向相统一，加大改革创新力度，拓宽思路、创新举措，扬优势、补短板、强弱项，推动首都文博事业实现高质量、跨越式发展。</w:t>
      </w:r>
    </w:p>
    <w:p>
      <w:pPr>
        <w:ind w:firstLine="640"/>
        <w:rPr>
          <w:rFonts w:ascii="仿宋_GB2312" w:hAnsi="仿宋_GB2312" w:cs="仿宋_GB2312"/>
          <w:szCs w:val="32"/>
        </w:rPr>
      </w:pPr>
    </w:p>
    <w:bookmarkEnd w:id="34"/>
    <w:p>
      <w:pPr>
        <w:pStyle w:val="5"/>
        <w:spacing w:before="312" w:after="312"/>
      </w:pPr>
      <w:bookmarkStart w:id="35" w:name="_Toc627452783_WPSOffice_Level1"/>
      <w:bookmarkStart w:id="36" w:name="_Toc611135818_WPSOffice_Level1"/>
      <w:r>
        <w:rPr>
          <w:rFonts w:hint="eastAsia"/>
        </w:rPr>
        <w:t>五、总体要求</w:t>
      </w:r>
      <w:bookmarkEnd w:id="35"/>
    </w:p>
    <w:p>
      <w:pPr>
        <w:pStyle w:val="6"/>
        <w:ind w:firstLine="643"/>
      </w:pPr>
      <w:bookmarkStart w:id="37" w:name="_Toc76742847"/>
      <w:bookmarkEnd w:id="37"/>
      <w:bookmarkStart w:id="38" w:name="_Toc1486211559_WPSOffice_Level2"/>
      <w:bookmarkStart w:id="39" w:name="_Toc541541198_WPSOffice_Level2"/>
      <w:r>
        <w:rPr>
          <w:rFonts w:hint="eastAsia"/>
        </w:rPr>
        <w:t>（一）指导思想</w:t>
      </w:r>
      <w:bookmarkEnd w:id="38"/>
      <w:bookmarkEnd w:id="39"/>
      <w:r>
        <w:rPr>
          <w:rFonts w:hint="eastAsia"/>
        </w:rPr>
        <w:t xml:space="preserve"> </w:t>
      </w:r>
    </w:p>
    <w:p>
      <w:pPr>
        <w:ind w:firstLine="640"/>
        <w:rPr>
          <w:rFonts w:ascii="仿宋_GB2312" w:hAnsi="仿宋_GB2312" w:cs="仿宋_GB2312"/>
          <w:szCs w:val="32"/>
        </w:rPr>
      </w:pPr>
      <w:bookmarkStart w:id="40" w:name="_Toc76742848"/>
      <w:bookmarkEnd w:id="40"/>
      <w:bookmarkStart w:id="41" w:name="_Toc1846343302_WPSOffice_Level2"/>
      <w:r>
        <w:rPr>
          <w:rFonts w:hint="eastAsia" w:ascii="仿宋_GB2312" w:hAnsi="仿宋_GB2312" w:cs="仿宋_GB2312"/>
          <w:szCs w:val="32"/>
        </w:rPr>
        <w:t>以习近平新时代中国特色社会主义思想为指导，深入贯彻落实党的十九大和十九届二中、三中、四中、五中全会精神，深入学习贯彻习近平总书记关于文物工作重要论述和对北京重要讲话精神，</w:t>
      </w:r>
      <w:r>
        <w:rPr>
          <w:rFonts w:hint="eastAsia" w:ascii="仿宋_GB2312" w:hAnsi="仿宋_GB2312" w:cs="仿宋_GB2312"/>
          <w:szCs w:val="32"/>
          <w:lang w:eastAsia="zh-CN"/>
        </w:rPr>
        <w:t>增强“四个意识”、坚定“四个自信”、做到“两个维护”</w:t>
      </w:r>
      <w:r>
        <w:rPr>
          <w:rFonts w:hint="eastAsia" w:ascii="仿宋_GB2312" w:hAnsi="仿宋_GB2312" w:cs="仿宋_GB2312"/>
          <w:szCs w:val="32"/>
        </w:rPr>
        <w:t>。立足首都“四个中心”城市战略定位，统筹推进文物保护利用和经济社会发展，以“一轴一城、两园三带、一区一中心”为全市文物工作重点，加强文物保护传承利用，擦亮北京历史文化遗产金名片，努力走出一条具有首都特色的文物保护利用之路，为建设国际一流和谐宜居之都赋能添彩。</w:t>
      </w:r>
    </w:p>
    <w:p>
      <w:pPr>
        <w:pStyle w:val="6"/>
        <w:ind w:firstLine="643"/>
      </w:pPr>
      <w:bookmarkStart w:id="42" w:name="_Toc2144560121_WPSOffice_Level2"/>
      <w:r>
        <w:rPr>
          <w:rFonts w:hint="eastAsia"/>
        </w:rPr>
        <w:t>（二）基本原则</w:t>
      </w:r>
      <w:bookmarkEnd w:id="41"/>
      <w:bookmarkEnd w:id="42"/>
    </w:p>
    <w:p>
      <w:pPr>
        <w:ind w:firstLine="643"/>
        <w:rPr>
          <w:rFonts w:ascii="仿宋_GB2312" w:hAnsi="仿宋_GB2312" w:cs="仿宋_GB2312"/>
          <w:szCs w:val="32"/>
        </w:rPr>
      </w:pPr>
      <w:r>
        <w:rPr>
          <w:rFonts w:hint="eastAsia" w:ascii="仿宋_GB2312" w:hAnsi="仿宋_GB2312" w:cs="仿宋_GB2312"/>
          <w:b/>
          <w:szCs w:val="32"/>
        </w:rPr>
        <w:t>坚持人民至上。</w:t>
      </w:r>
      <w:r>
        <w:rPr>
          <w:rFonts w:hint="eastAsia" w:ascii="仿宋_GB2312" w:hAnsi="仿宋_GB2312" w:cs="仿宋_GB2312"/>
          <w:szCs w:val="32"/>
        </w:rPr>
        <w:t>坚持以人民为中心的发展思想，本着对历史负责、对人民负责的精神，传承历史文脉。推动文物保护利用成果社会共享，不断满足人民日益增长的美好生活需要，增强人民精神力量，努力提高人民群众的获得感、幸福感。</w:t>
      </w:r>
    </w:p>
    <w:p>
      <w:pPr>
        <w:ind w:firstLine="643"/>
        <w:rPr>
          <w:rFonts w:ascii="仿宋_GB2312" w:hAnsi="仿宋_GB2312" w:cs="仿宋_GB2312"/>
          <w:szCs w:val="32"/>
        </w:rPr>
      </w:pPr>
      <w:r>
        <w:rPr>
          <w:rFonts w:hint="eastAsia" w:ascii="仿宋_GB2312" w:hAnsi="仿宋_GB2312" w:cs="仿宋_GB2312"/>
          <w:b/>
          <w:szCs w:val="32"/>
        </w:rPr>
        <w:t>坚持守正创新。</w:t>
      </w:r>
      <w:r>
        <w:rPr>
          <w:rFonts w:hint="eastAsia" w:ascii="仿宋_GB2312" w:hAnsi="仿宋_GB2312" w:cs="仿宋_GB2312"/>
          <w:bCs/>
          <w:szCs w:val="32"/>
        </w:rPr>
        <w:t>全面贯彻文物工作方针</w:t>
      </w:r>
      <w:r>
        <w:rPr>
          <w:rFonts w:hint="eastAsia" w:ascii="仿宋_GB2312" w:hAnsi="仿宋_GB2312" w:cs="仿宋_GB2312"/>
          <w:szCs w:val="32"/>
        </w:rPr>
        <w:t>，坚守文化遗产保护传承正道，守方向之正、格调之正，主动服务首都“四个中心”建设大局。坚持创造性转化、创新性发展，将首都文物资源优势转化为高质量发展的强大动能。</w:t>
      </w:r>
    </w:p>
    <w:p>
      <w:pPr>
        <w:ind w:firstLine="643"/>
        <w:rPr>
          <w:rFonts w:ascii="仿宋_GB2312" w:hAnsi="仿宋_GB2312" w:cs="仿宋_GB2312"/>
          <w:szCs w:val="32"/>
        </w:rPr>
      </w:pPr>
      <w:r>
        <w:rPr>
          <w:rFonts w:hint="eastAsia" w:ascii="仿宋_GB2312" w:hAnsi="仿宋_GB2312" w:cs="仿宋_GB2312"/>
          <w:b/>
          <w:szCs w:val="32"/>
        </w:rPr>
        <w:t>坚持首善标准。</w:t>
      </w:r>
      <w:r>
        <w:rPr>
          <w:rFonts w:hint="eastAsia" w:ascii="仿宋_GB2312" w:hAnsi="仿宋_GB2312" w:cs="仿宋_GB2312"/>
          <w:szCs w:val="32"/>
        </w:rPr>
        <w:t>拓宽工作思路，创新工作方法，勇于先行先试，大胆实践探索，拓展与大国首都、全国文化中心地位相匹配的文物工作新局面，做好文物领域改革的排头兵，率先实现文物治理体系和治理能力现代化。</w:t>
      </w:r>
    </w:p>
    <w:p>
      <w:pPr>
        <w:ind w:firstLine="643"/>
        <w:rPr>
          <w:rFonts w:ascii="仿宋_GB2312" w:hAnsi="仿宋_GB2312" w:cs="仿宋_GB2312"/>
          <w:szCs w:val="32"/>
        </w:rPr>
      </w:pPr>
      <w:r>
        <w:rPr>
          <w:rFonts w:hint="eastAsia" w:ascii="仿宋_GB2312" w:hAnsi="仿宋_GB2312" w:cs="仿宋_GB2312"/>
          <w:b/>
          <w:szCs w:val="32"/>
        </w:rPr>
        <w:t>坚持融合发展。</w:t>
      </w:r>
      <w:r>
        <w:rPr>
          <w:rFonts w:hint="eastAsia" w:ascii="仿宋_GB2312" w:hAnsi="仿宋_GB2312" w:cs="仿宋_GB2312"/>
          <w:szCs w:val="32"/>
        </w:rPr>
        <w:t>盘活用好文物资源，促进要素高效配置，加强与旅游、体育、教育、科技等领域深度融合，激活发展新动能，让</w:t>
      </w:r>
      <w:r>
        <w:rPr>
          <w:rFonts w:ascii="仿宋_GB2312" w:hAnsi="仿宋_GB2312" w:cs="仿宋_GB2312"/>
          <w:szCs w:val="32"/>
        </w:rPr>
        <w:t>历史文化和现代生活融为一体</w:t>
      </w:r>
      <w:r>
        <w:rPr>
          <w:rFonts w:hint="eastAsia" w:ascii="仿宋_GB2312" w:hAnsi="仿宋_GB2312" w:cs="仿宋_GB2312"/>
          <w:szCs w:val="32"/>
        </w:rPr>
        <w:t>。</w:t>
      </w:r>
    </w:p>
    <w:p>
      <w:pPr>
        <w:ind w:firstLine="643"/>
        <w:rPr>
          <w:rFonts w:ascii="仿宋_GB2312" w:hAnsi="仿宋_GB2312" w:cs="仿宋_GB2312"/>
          <w:szCs w:val="32"/>
        </w:rPr>
      </w:pPr>
      <w:bookmarkStart w:id="43" w:name="_Toc76742849"/>
      <w:bookmarkEnd w:id="43"/>
      <w:bookmarkStart w:id="44" w:name="_Toc469525334_WPSOffice_Level2"/>
      <w:r>
        <w:rPr>
          <w:rFonts w:hint="eastAsia" w:ascii="仿宋_GB2312" w:hAnsi="仿宋_GB2312" w:cs="仿宋_GB2312"/>
          <w:b/>
          <w:szCs w:val="32"/>
        </w:rPr>
        <w:t>坚持交流互鉴。</w:t>
      </w:r>
      <w:r>
        <w:rPr>
          <w:rFonts w:hint="eastAsia" w:ascii="仿宋_GB2312" w:hAnsi="仿宋_GB2312" w:cs="仿宋_GB2312"/>
          <w:szCs w:val="32"/>
        </w:rPr>
        <w:t>秉承“文明因交流而多彩，文明因互鉴而丰富”的理念，加强文物和文化遗产领域中外交流合作，以我为主、兼收并蓄。以文物资源为载体，在讲好中国故事、北京故事上主动作为，为推动中华文化走出去贡献首都力量。</w:t>
      </w:r>
    </w:p>
    <w:p>
      <w:pPr>
        <w:pStyle w:val="6"/>
        <w:ind w:firstLine="643"/>
      </w:pPr>
      <w:bookmarkStart w:id="45" w:name="_Toc1993806694_WPSOffice_Level2"/>
      <w:r>
        <w:rPr>
          <w:rFonts w:hint="eastAsia"/>
        </w:rPr>
        <w:t>（三）发展目标</w:t>
      </w:r>
      <w:bookmarkEnd w:id="44"/>
      <w:bookmarkEnd w:id="45"/>
    </w:p>
    <w:p>
      <w:pPr>
        <w:ind w:firstLine="640"/>
        <w:rPr>
          <w:rFonts w:ascii="仿宋_GB2312"/>
          <w:szCs w:val="32"/>
        </w:rPr>
      </w:pPr>
      <w:r>
        <w:rPr>
          <w:rFonts w:hint="eastAsia" w:ascii="仿宋_GB2312" w:hAnsi="仿宋_GB2312" w:cs="仿宋_GB2312"/>
          <w:szCs w:val="32"/>
        </w:rPr>
        <w:t>到2025年，“一轴一城、两园三带、一区一中心”等文物重点工作取得显著成效，具有首都特色的文物保护利用模式日益成熟。北京中轴线申遗取得重大进展；博物馆之城建设亮点纷呈；长城、大运河两个国家文化公园（北京段）基本建成，长城、大运河、西山永定河三条文化带建设形成较大影响力；三山五园国家文物保护利用示范区基本建成，市级文物保护利用示范区建设扎实推进；国际文物艺术品交易中心建设对首都经济社会发展的支撑作用日益明显；革命文物三大</w:t>
      </w:r>
      <w:r>
        <w:rPr>
          <w:rFonts w:hint="eastAsia" w:ascii="仿宋_GB2312" w:hAnsi="仿宋_GB2312" w:cs="仿宋_GB2312"/>
          <w:szCs w:val="32"/>
          <w:lang w:eastAsia="zh-CN"/>
        </w:rPr>
        <w:t>主题</w:t>
      </w:r>
      <w:r>
        <w:rPr>
          <w:rFonts w:hint="eastAsia" w:ascii="仿宋_GB2312" w:hAnsi="仿宋_GB2312" w:cs="仿宋_GB2312"/>
          <w:szCs w:val="32"/>
        </w:rPr>
        <w:t>片区建设有力推进，在赓续红色血脉、传承红色基因中发挥重要作用；琉璃河、路县故城、圆明园等考古遗址公园建设扎实推进，考古工作能力水平明显提高，古都魅力更加彰显；文物基础工作不断夯实，文物安全形势持续向好，首都文物治理水平和治理能力不断提高。</w:t>
      </w:r>
    </w:p>
    <w:p>
      <w:pPr>
        <w:pStyle w:val="6"/>
        <w:ind w:firstLine="643"/>
      </w:pPr>
      <w:bookmarkStart w:id="46" w:name="_Toc76742850"/>
      <w:bookmarkEnd w:id="46"/>
      <w:bookmarkStart w:id="47" w:name="_Toc795696013_WPSOffice_Level2"/>
      <w:bookmarkStart w:id="48" w:name="_Toc110648425_WPSOffice_Level2"/>
      <w:r>
        <w:rPr>
          <w:rFonts w:hint="eastAsia"/>
        </w:rPr>
        <w:t>（四）主要指标</w:t>
      </w:r>
      <w:bookmarkEnd w:id="47"/>
      <w:bookmarkEnd w:id="48"/>
    </w:p>
    <w:tbl>
      <w:tblPr>
        <w:tblStyle w:val="13"/>
        <w:tblW w:w="0" w:type="auto"/>
        <w:jc w:val="center"/>
        <w:tblLayout w:type="autofit"/>
        <w:tblCellMar>
          <w:top w:w="0" w:type="dxa"/>
          <w:left w:w="10" w:type="dxa"/>
          <w:bottom w:w="0" w:type="dxa"/>
          <w:right w:w="10" w:type="dxa"/>
        </w:tblCellMar>
      </w:tblPr>
      <w:tblGrid>
        <w:gridCol w:w="818"/>
        <w:gridCol w:w="782"/>
        <w:gridCol w:w="4395"/>
        <w:gridCol w:w="992"/>
        <w:gridCol w:w="1134"/>
      </w:tblGrid>
      <w:tr>
        <w:tblPrEx>
          <w:tblCellMar>
            <w:top w:w="0" w:type="dxa"/>
            <w:left w:w="10" w:type="dxa"/>
            <w:bottom w:w="0" w:type="dxa"/>
            <w:right w:w="10" w:type="dxa"/>
          </w:tblCellMar>
        </w:tblPrEx>
        <w:trPr>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88" w:lineRule="auto"/>
              <w:ind w:firstLine="0" w:firstLineChars="0"/>
              <w:jc w:val="center"/>
              <w:rPr>
                <w:rFonts w:ascii="仿宋_GB2312" w:hAnsi="仿宋_GB2312" w:cs="仿宋_GB2312"/>
                <w:b/>
                <w:bCs/>
                <w:sz w:val="24"/>
              </w:rPr>
            </w:pPr>
            <w:r>
              <w:rPr>
                <w:rFonts w:hint="eastAsia" w:ascii="仿宋_GB2312" w:hAnsi="仿宋_GB2312" w:cs="仿宋_GB2312"/>
                <w:b/>
                <w:bCs/>
                <w:sz w:val="24"/>
              </w:rPr>
              <w:t>类别</w:t>
            </w:r>
          </w:p>
        </w:tc>
        <w:tc>
          <w:tcPr>
            <w:tcW w:w="782" w:type="dxa"/>
            <w:tcBorders>
              <w:top w:val="single" w:color="000000" w:sz="4" w:space="0"/>
              <w:left w:val="single" w:color="000000" w:sz="2"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88" w:lineRule="auto"/>
              <w:ind w:firstLine="0" w:firstLineChars="0"/>
              <w:jc w:val="center"/>
              <w:rPr>
                <w:rFonts w:ascii="仿宋_GB2312" w:hAnsi="仿宋_GB2312" w:cs="仿宋_GB2312"/>
                <w:b/>
                <w:bCs/>
                <w:sz w:val="24"/>
              </w:rPr>
            </w:pPr>
            <w:r>
              <w:rPr>
                <w:rFonts w:hint="eastAsia" w:ascii="仿宋_GB2312" w:hAnsi="仿宋_GB2312" w:cs="仿宋_GB2312"/>
                <w:b/>
                <w:bCs/>
                <w:sz w:val="24"/>
              </w:rPr>
              <w:t>序号</w:t>
            </w:r>
          </w:p>
        </w:tc>
        <w:tc>
          <w:tcPr>
            <w:tcW w:w="4395" w:type="dxa"/>
            <w:tcBorders>
              <w:top w:val="single" w:color="000000" w:sz="4" w:space="0"/>
              <w:left w:val="single" w:color="000000" w:sz="2"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88" w:lineRule="auto"/>
              <w:ind w:firstLine="0" w:firstLineChars="0"/>
              <w:jc w:val="center"/>
              <w:rPr>
                <w:rFonts w:ascii="仿宋_GB2312" w:hAnsi="仿宋_GB2312" w:cs="仿宋_GB2312"/>
                <w:b/>
                <w:bCs/>
                <w:sz w:val="24"/>
              </w:rPr>
            </w:pPr>
            <w:r>
              <w:rPr>
                <w:rFonts w:hint="eastAsia" w:ascii="仿宋_GB2312" w:hAnsi="仿宋_GB2312" w:cs="仿宋_GB2312"/>
                <w:b/>
                <w:bCs/>
                <w:sz w:val="24"/>
              </w:rPr>
              <w:t>指标</w:t>
            </w:r>
          </w:p>
        </w:tc>
        <w:tc>
          <w:tcPr>
            <w:tcW w:w="992" w:type="dxa"/>
            <w:tcBorders>
              <w:top w:val="single" w:color="000000" w:sz="4" w:space="0"/>
              <w:left w:val="single" w:color="000000" w:sz="2"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88" w:lineRule="auto"/>
              <w:ind w:firstLine="0" w:firstLineChars="0"/>
              <w:jc w:val="center"/>
              <w:rPr>
                <w:rFonts w:ascii="仿宋_GB2312" w:hAnsi="仿宋_GB2312" w:cs="仿宋_GB2312"/>
                <w:b/>
                <w:bCs/>
                <w:sz w:val="24"/>
              </w:rPr>
            </w:pPr>
            <w:r>
              <w:rPr>
                <w:rFonts w:hint="eastAsia" w:ascii="仿宋_GB2312" w:hAnsi="仿宋_GB2312" w:cs="仿宋_GB2312"/>
                <w:b/>
                <w:bCs/>
                <w:sz w:val="24"/>
              </w:rPr>
              <w:t>目标</w:t>
            </w:r>
          </w:p>
        </w:tc>
        <w:tc>
          <w:tcPr>
            <w:tcW w:w="1134" w:type="dxa"/>
            <w:tcBorders>
              <w:top w:val="single" w:color="000000" w:sz="4" w:space="0"/>
              <w:left w:val="single" w:color="000000" w:sz="2"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88" w:lineRule="auto"/>
              <w:ind w:firstLine="0" w:firstLineChars="0"/>
              <w:jc w:val="center"/>
              <w:rPr>
                <w:rFonts w:ascii="仿宋_GB2312" w:hAnsi="仿宋_GB2312" w:cs="仿宋_GB2312"/>
                <w:b/>
                <w:bCs/>
                <w:sz w:val="24"/>
              </w:rPr>
            </w:pPr>
            <w:r>
              <w:rPr>
                <w:rFonts w:hint="eastAsia" w:ascii="仿宋_GB2312" w:hAnsi="仿宋_GB2312" w:cs="仿宋_GB2312"/>
                <w:b/>
                <w:bCs/>
                <w:sz w:val="24"/>
              </w:rPr>
              <w:t>属性</w:t>
            </w:r>
          </w:p>
        </w:tc>
      </w:tr>
      <w:tr>
        <w:tblPrEx>
          <w:tblCellMar>
            <w:top w:w="0" w:type="dxa"/>
            <w:left w:w="10" w:type="dxa"/>
            <w:bottom w:w="0" w:type="dxa"/>
            <w:right w:w="10" w:type="dxa"/>
          </w:tblCellMar>
        </w:tblPrEx>
        <w:trPr>
          <w:jc w:val="center"/>
        </w:trPr>
        <w:tc>
          <w:tcPr>
            <w:tcW w:w="818" w:type="dxa"/>
            <w:vMerge w:val="restart"/>
            <w:tcBorders>
              <w:top w:val="single" w:color="000000" w:sz="2" w:space="0"/>
              <w:left w:val="single" w:color="000000" w:sz="4" w:space="0"/>
              <w:right w:val="single" w:color="000000" w:sz="4" w:space="0"/>
            </w:tcBorders>
            <w:shd w:val="clear" w:color="auto" w:fill="FFFFFF"/>
            <w:tcMar>
              <w:top w:w="0" w:type="dxa"/>
              <w:left w:w="108" w:type="dxa"/>
              <w:bottom w:w="0" w:type="dxa"/>
              <w:right w:w="108" w:type="dxa"/>
            </w:tcMar>
            <w:vAlign w:val="center"/>
          </w:tcPr>
          <w:p>
            <w:pPr>
              <w:spacing w:line="288" w:lineRule="auto"/>
              <w:ind w:firstLine="0" w:firstLineChars="0"/>
              <w:rPr>
                <w:rFonts w:ascii="仿宋_GB2312" w:hAnsi="仿宋_GB2312" w:cs="仿宋_GB2312"/>
                <w:sz w:val="24"/>
              </w:rPr>
            </w:pPr>
            <w:r>
              <w:rPr>
                <w:rFonts w:hint="eastAsia" w:ascii="仿宋_GB2312" w:hAnsi="仿宋_GB2312" w:cs="仿宋_GB2312"/>
                <w:sz w:val="24"/>
              </w:rPr>
              <w:t>文物保护成 效</w:t>
            </w:r>
          </w:p>
        </w:tc>
        <w:tc>
          <w:tcPr>
            <w:tcW w:w="782" w:type="dxa"/>
            <w:tcBorders>
              <w:top w:val="single" w:color="000000" w:sz="2" w:space="0"/>
              <w:left w:val="single" w:color="000000" w:sz="2"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88" w:lineRule="auto"/>
              <w:ind w:firstLine="0" w:firstLineChars="0"/>
              <w:jc w:val="center"/>
              <w:rPr>
                <w:rFonts w:ascii="仿宋_GB2312" w:hAnsi="仿宋_GB2312" w:cs="仿宋_GB2312"/>
                <w:sz w:val="24"/>
              </w:rPr>
            </w:pPr>
            <w:r>
              <w:rPr>
                <w:rFonts w:hint="eastAsia" w:ascii="仿宋_GB2312" w:hAnsi="仿宋_GB2312" w:cs="仿宋_GB2312"/>
                <w:sz w:val="24"/>
              </w:rPr>
              <w:t>1</w:t>
            </w:r>
          </w:p>
        </w:tc>
        <w:tc>
          <w:tcPr>
            <w:tcW w:w="4395" w:type="dxa"/>
            <w:tcBorders>
              <w:top w:val="single" w:color="000000" w:sz="2" w:space="0"/>
              <w:left w:val="single" w:color="000000" w:sz="2"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88" w:lineRule="auto"/>
              <w:ind w:firstLine="0" w:firstLineChars="0"/>
              <w:rPr>
                <w:rFonts w:ascii="仿宋_GB2312" w:hAnsi="仿宋_GB2312" w:cs="仿宋_GB2312"/>
                <w:sz w:val="24"/>
              </w:rPr>
            </w:pPr>
            <w:r>
              <w:rPr>
                <w:rFonts w:hint="eastAsia" w:ascii="仿宋_GB2312" w:hAnsi="仿宋_GB2312" w:cs="仿宋_GB2312"/>
                <w:sz w:val="24"/>
              </w:rPr>
              <w:t>全国重点文物保护单位数量（处）</w:t>
            </w:r>
          </w:p>
        </w:tc>
        <w:tc>
          <w:tcPr>
            <w:tcW w:w="992" w:type="dxa"/>
            <w:tcBorders>
              <w:top w:val="single" w:color="000000" w:sz="2" w:space="0"/>
              <w:left w:val="single" w:color="000000" w:sz="2"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88" w:lineRule="auto"/>
              <w:ind w:firstLine="0" w:firstLineChars="0"/>
              <w:jc w:val="center"/>
              <w:rPr>
                <w:rFonts w:ascii="仿宋_GB2312" w:hAnsi="仿宋_GB2312" w:cs="仿宋_GB2312"/>
                <w:sz w:val="24"/>
              </w:rPr>
            </w:pPr>
            <w:r>
              <w:rPr>
                <w:rFonts w:hint="eastAsia" w:ascii="仿宋_GB2312" w:hAnsi="仿宋_GB2312" w:cs="仿宋_GB2312"/>
                <w:sz w:val="24"/>
              </w:rPr>
              <w:t>增加</w:t>
            </w:r>
          </w:p>
        </w:tc>
        <w:tc>
          <w:tcPr>
            <w:tcW w:w="1134" w:type="dxa"/>
            <w:tcBorders>
              <w:top w:val="single" w:color="000000" w:sz="2" w:space="0"/>
              <w:left w:val="single" w:color="000000" w:sz="2"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88" w:lineRule="auto"/>
              <w:ind w:firstLine="0" w:firstLineChars="0"/>
              <w:jc w:val="center"/>
              <w:rPr>
                <w:rFonts w:ascii="仿宋_GB2312" w:hAnsi="仿宋_GB2312" w:cs="仿宋_GB2312"/>
                <w:sz w:val="24"/>
              </w:rPr>
            </w:pPr>
            <w:r>
              <w:rPr>
                <w:rFonts w:hint="eastAsia" w:ascii="仿宋_GB2312" w:hAnsi="仿宋_GB2312" w:cs="仿宋_GB2312"/>
                <w:sz w:val="24"/>
              </w:rPr>
              <w:t>预期性</w:t>
            </w:r>
          </w:p>
        </w:tc>
      </w:tr>
      <w:tr>
        <w:tblPrEx>
          <w:tblCellMar>
            <w:top w:w="0" w:type="dxa"/>
            <w:left w:w="10" w:type="dxa"/>
            <w:bottom w:w="0" w:type="dxa"/>
            <w:right w:w="10" w:type="dxa"/>
          </w:tblCellMar>
        </w:tblPrEx>
        <w:trPr>
          <w:jc w:val="center"/>
        </w:trPr>
        <w:tc>
          <w:tcPr>
            <w:tcW w:w="818" w:type="dxa"/>
            <w:vMerge w:val="continue"/>
            <w:tcBorders>
              <w:left w:val="single" w:color="000000" w:sz="4" w:space="0"/>
              <w:right w:val="single" w:color="000000" w:sz="4" w:space="0"/>
            </w:tcBorders>
            <w:shd w:val="clear" w:color="auto" w:fill="FFFFFF"/>
            <w:vAlign w:val="center"/>
          </w:tcPr>
          <w:p>
            <w:pPr>
              <w:widowControl/>
              <w:spacing w:line="288" w:lineRule="auto"/>
              <w:ind w:firstLine="0" w:firstLineChars="0"/>
              <w:jc w:val="left"/>
              <w:rPr>
                <w:rFonts w:ascii="仿宋_GB2312" w:hAnsi="仿宋_GB2312" w:cs="仿宋_GB2312"/>
                <w:sz w:val="24"/>
              </w:rPr>
            </w:pPr>
          </w:p>
        </w:tc>
        <w:tc>
          <w:tcPr>
            <w:tcW w:w="782" w:type="dxa"/>
            <w:tcBorders>
              <w:top w:val="single" w:color="000000" w:sz="2" w:space="0"/>
              <w:left w:val="single" w:color="000000" w:sz="2"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88" w:lineRule="auto"/>
              <w:ind w:firstLine="0" w:firstLineChars="0"/>
              <w:jc w:val="center"/>
              <w:rPr>
                <w:rFonts w:ascii="仿宋_GB2312" w:hAnsi="仿宋_GB2312" w:cs="仿宋_GB2312"/>
                <w:sz w:val="24"/>
              </w:rPr>
            </w:pPr>
            <w:r>
              <w:rPr>
                <w:rFonts w:hint="eastAsia" w:ascii="仿宋_GB2312" w:hAnsi="仿宋_GB2312" w:cs="仿宋_GB2312"/>
                <w:sz w:val="24"/>
              </w:rPr>
              <w:t>2</w:t>
            </w:r>
          </w:p>
        </w:tc>
        <w:tc>
          <w:tcPr>
            <w:tcW w:w="4395" w:type="dxa"/>
            <w:tcBorders>
              <w:top w:val="single" w:color="000000" w:sz="2" w:space="0"/>
              <w:left w:val="single" w:color="000000" w:sz="2"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88" w:lineRule="auto"/>
              <w:ind w:firstLine="0" w:firstLineChars="0"/>
              <w:rPr>
                <w:rFonts w:ascii="仿宋_GB2312" w:hAnsi="仿宋_GB2312" w:cs="仿宋_GB2312"/>
                <w:sz w:val="24"/>
              </w:rPr>
            </w:pPr>
            <w:r>
              <w:rPr>
                <w:rFonts w:hint="eastAsia" w:ascii="仿宋_GB2312" w:hAnsi="仿宋_GB2312" w:cs="仿宋_GB2312"/>
                <w:sz w:val="24"/>
              </w:rPr>
              <w:t>市级文物保护单位数量（处）</w:t>
            </w:r>
          </w:p>
        </w:tc>
        <w:tc>
          <w:tcPr>
            <w:tcW w:w="992" w:type="dxa"/>
            <w:tcBorders>
              <w:top w:val="single" w:color="000000" w:sz="2" w:space="0"/>
              <w:left w:val="single" w:color="000000" w:sz="2"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88" w:lineRule="auto"/>
              <w:ind w:firstLine="0" w:firstLineChars="0"/>
              <w:jc w:val="center"/>
              <w:rPr>
                <w:rFonts w:ascii="仿宋_GB2312" w:hAnsi="仿宋_GB2312" w:cs="仿宋_GB2312"/>
                <w:sz w:val="24"/>
              </w:rPr>
            </w:pPr>
            <w:r>
              <w:rPr>
                <w:rFonts w:hint="eastAsia" w:ascii="仿宋_GB2312" w:hAnsi="仿宋_GB2312" w:cs="仿宋_GB2312"/>
                <w:sz w:val="24"/>
              </w:rPr>
              <w:t>增加</w:t>
            </w:r>
          </w:p>
        </w:tc>
        <w:tc>
          <w:tcPr>
            <w:tcW w:w="1134" w:type="dxa"/>
            <w:tcBorders>
              <w:top w:val="single" w:color="000000" w:sz="2" w:space="0"/>
              <w:left w:val="single" w:color="000000" w:sz="2"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88" w:lineRule="auto"/>
              <w:ind w:firstLine="0" w:firstLineChars="0"/>
              <w:jc w:val="center"/>
              <w:rPr>
                <w:rFonts w:ascii="仿宋_GB2312" w:hAnsi="仿宋_GB2312" w:cs="仿宋_GB2312"/>
                <w:sz w:val="24"/>
              </w:rPr>
            </w:pPr>
            <w:r>
              <w:rPr>
                <w:rFonts w:hint="eastAsia" w:ascii="仿宋_GB2312" w:hAnsi="仿宋_GB2312" w:cs="仿宋_GB2312"/>
                <w:sz w:val="24"/>
              </w:rPr>
              <w:t>预期性</w:t>
            </w:r>
          </w:p>
        </w:tc>
      </w:tr>
      <w:tr>
        <w:tblPrEx>
          <w:tblCellMar>
            <w:top w:w="0" w:type="dxa"/>
            <w:left w:w="10" w:type="dxa"/>
            <w:bottom w:w="0" w:type="dxa"/>
            <w:right w:w="10" w:type="dxa"/>
          </w:tblCellMar>
        </w:tblPrEx>
        <w:trPr>
          <w:trHeight w:val="829" w:hRule="atLeast"/>
          <w:jc w:val="center"/>
        </w:trPr>
        <w:tc>
          <w:tcPr>
            <w:tcW w:w="818" w:type="dxa"/>
            <w:vMerge w:val="continue"/>
            <w:tcBorders>
              <w:left w:val="single" w:color="000000" w:sz="4" w:space="0"/>
              <w:right w:val="single" w:color="000000" w:sz="4" w:space="0"/>
            </w:tcBorders>
            <w:shd w:val="clear" w:color="auto" w:fill="FFFFFF"/>
            <w:vAlign w:val="center"/>
          </w:tcPr>
          <w:p>
            <w:pPr>
              <w:widowControl/>
              <w:spacing w:line="288" w:lineRule="auto"/>
              <w:ind w:firstLine="0" w:firstLineChars="0"/>
              <w:jc w:val="left"/>
              <w:rPr>
                <w:rFonts w:ascii="仿宋_GB2312" w:hAnsi="仿宋_GB2312" w:cs="仿宋_GB2312"/>
                <w:sz w:val="24"/>
              </w:rPr>
            </w:pPr>
          </w:p>
        </w:tc>
        <w:tc>
          <w:tcPr>
            <w:tcW w:w="782" w:type="dxa"/>
            <w:tcBorders>
              <w:top w:val="single" w:color="000000" w:sz="2" w:space="0"/>
              <w:left w:val="single" w:color="000000" w:sz="2"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88" w:lineRule="auto"/>
              <w:ind w:firstLine="0" w:firstLineChars="0"/>
              <w:jc w:val="center"/>
              <w:rPr>
                <w:rFonts w:ascii="仿宋_GB2312" w:hAnsi="仿宋_GB2312" w:cs="仿宋_GB2312"/>
                <w:sz w:val="24"/>
              </w:rPr>
            </w:pPr>
            <w:r>
              <w:rPr>
                <w:rFonts w:hint="eastAsia" w:ascii="仿宋_GB2312" w:hAnsi="仿宋_GB2312" w:cs="仿宋_GB2312"/>
                <w:sz w:val="24"/>
              </w:rPr>
              <w:t>3</w:t>
            </w:r>
          </w:p>
        </w:tc>
        <w:tc>
          <w:tcPr>
            <w:tcW w:w="4395" w:type="dxa"/>
            <w:tcBorders>
              <w:top w:val="single" w:color="000000" w:sz="2" w:space="0"/>
              <w:left w:val="single" w:color="000000" w:sz="2"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88" w:lineRule="auto"/>
              <w:ind w:firstLine="0" w:firstLineChars="0"/>
              <w:rPr>
                <w:rFonts w:ascii="仿宋_GB2312" w:hAnsi="仿宋_GB2312" w:cs="仿宋_GB2312"/>
                <w:sz w:val="24"/>
              </w:rPr>
            </w:pPr>
            <w:r>
              <w:rPr>
                <w:rFonts w:hint="eastAsia" w:ascii="仿宋_GB2312" w:hAnsi="仿宋_GB2312" w:cs="仿宋_GB2312"/>
                <w:sz w:val="24"/>
              </w:rPr>
              <w:t>“三条文化带”文化遗产修缮保护重点项目年度完成率（%）</w:t>
            </w:r>
          </w:p>
        </w:tc>
        <w:tc>
          <w:tcPr>
            <w:tcW w:w="992" w:type="dxa"/>
            <w:tcBorders>
              <w:top w:val="single" w:color="000000" w:sz="2" w:space="0"/>
              <w:left w:val="single" w:color="000000" w:sz="2"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88" w:lineRule="auto"/>
              <w:ind w:firstLine="0" w:firstLineChars="0"/>
              <w:jc w:val="center"/>
              <w:rPr>
                <w:rFonts w:ascii="仿宋_GB2312" w:hAnsi="仿宋_GB2312" w:cs="仿宋_GB2312"/>
                <w:sz w:val="24"/>
              </w:rPr>
            </w:pPr>
            <w:r>
              <w:rPr>
                <w:rFonts w:hint="eastAsia" w:ascii="仿宋_GB2312" w:hAnsi="仿宋_GB2312" w:cs="仿宋_GB2312"/>
                <w:sz w:val="24"/>
              </w:rPr>
              <w:t>90</w:t>
            </w:r>
          </w:p>
        </w:tc>
        <w:tc>
          <w:tcPr>
            <w:tcW w:w="1134" w:type="dxa"/>
            <w:tcBorders>
              <w:top w:val="single" w:color="000000" w:sz="2" w:space="0"/>
              <w:left w:val="single" w:color="000000" w:sz="2"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88" w:lineRule="auto"/>
              <w:ind w:firstLine="0" w:firstLineChars="0"/>
              <w:jc w:val="center"/>
              <w:rPr>
                <w:rFonts w:ascii="仿宋_GB2312" w:hAnsi="仿宋_GB2312" w:cs="仿宋_GB2312"/>
                <w:sz w:val="24"/>
              </w:rPr>
            </w:pPr>
            <w:r>
              <w:rPr>
                <w:rFonts w:hint="eastAsia" w:ascii="仿宋_GB2312" w:hAnsi="仿宋_GB2312" w:cs="仿宋_GB2312"/>
                <w:sz w:val="24"/>
              </w:rPr>
              <w:t>约束性</w:t>
            </w:r>
          </w:p>
        </w:tc>
      </w:tr>
      <w:tr>
        <w:tblPrEx>
          <w:tblCellMar>
            <w:top w:w="0" w:type="dxa"/>
            <w:left w:w="10" w:type="dxa"/>
            <w:bottom w:w="0" w:type="dxa"/>
            <w:right w:w="10" w:type="dxa"/>
          </w:tblCellMar>
        </w:tblPrEx>
        <w:trPr>
          <w:trHeight w:val="379" w:hRule="atLeast"/>
          <w:jc w:val="center"/>
        </w:trPr>
        <w:tc>
          <w:tcPr>
            <w:tcW w:w="818" w:type="dxa"/>
            <w:vMerge w:val="continue"/>
            <w:tcBorders>
              <w:left w:val="single" w:color="000000" w:sz="4" w:space="0"/>
              <w:bottom w:val="nil"/>
              <w:right w:val="single" w:color="000000" w:sz="4" w:space="0"/>
            </w:tcBorders>
            <w:shd w:val="clear" w:color="auto" w:fill="FFFFFF"/>
            <w:vAlign w:val="center"/>
          </w:tcPr>
          <w:p>
            <w:pPr>
              <w:widowControl/>
              <w:spacing w:line="288" w:lineRule="auto"/>
              <w:ind w:firstLine="0" w:firstLineChars="0"/>
              <w:jc w:val="left"/>
              <w:rPr>
                <w:rFonts w:ascii="仿宋_GB2312" w:hAnsi="仿宋_GB2312" w:cs="仿宋_GB2312"/>
                <w:sz w:val="24"/>
              </w:rPr>
            </w:pPr>
          </w:p>
        </w:tc>
        <w:tc>
          <w:tcPr>
            <w:tcW w:w="782" w:type="dxa"/>
            <w:tcBorders>
              <w:top w:val="single" w:color="000000" w:sz="4" w:space="0"/>
              <w:left w:val="single" w:color="000000" w:sz="2"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88" w:lineRule="auto"/>
              <w:ind w:firstLine="0" w:firstLineChars="0"/>
              <w:jc w:val="center"/>
              <w:rPr>
                <w:rFonts w:ascii="仿宋_GB2312" w:hAnsi="仿宋_GB2312" w:cs="仿宋_GB2312"/>
                <w:sz w:val="24"/>
              </w:rPr>
            </w:pPr>
            <w:r>
              <w:rPr>
                <w:rFonts w:hint="eastAsia" w:ascii="仿宋_GB2312" w:hAnsi="仿宋_GB2312" w:cs="仿宋_GB2312"/>
                <w:sz w:val="24"/>
              </w:rPr>
              <w:t>4</w:t>
            </w:r>
          </w:p>
        </w:tc>
        <w:tc>
          <w:tcPr>
            <w:tcW w:w="4395" w:type="dxa"/>
            <w:tcBorders>
              <w:top w:val="single" w:color="000000" w:sz="4" w:space="0"/>
              <w:left w:val="single" w:color="000000" w:sz="2"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88" w:lineRule="auto"/>
              <w:ind w:firstLine="0" w:firstLineChars="0"/>
              <w:rPr>
                <w:rFonts w:ascii="仿宋_GB2312" w:hAnsi="仿宋_GB2312" w:cs="仿宋_GB2312"/>
                <w:sz w:val="24"/>
              </w:rPr>
            </w:pPr>
            <w:r>
              <w:rPr>
                <w:rFonts w:hint="eastAsia" w:ascii="仿宋_GB2312" w:hAnsi="仿宋_GB2312" w:cs="仿宋_GB2312"/>
                <w:sz w:val="24"/>
              </w:rPr>
              <w:t>市级文物保护利用示范区数量（个）</w:t>
            </w:r>
          </w:p>
        </w:tc>
        <w:tc>
          <w:tcPr>
            <w:tcW w:w="992" w:type="dxa"/>
            <w:tcBorders>
              <w:top w:val="single" w:color="000000" w:sz="4" w:space="0"/>
              <w:left w:val="single" w:color="000000" w:sz="2"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88" w:lineRule="auto"/>
              <w:ind w:firstLine="0" w:firstLineChars="0"/>
              <w:jc w:val="center"/>
              <w:rPr>
                <w:rFonts w:ascii="仿宋_GB2312" w:hAnsi="仿宋_GB2312" w:cs="仿宋_GB2312"/>
                <w:sz w:val="24"/>
              </w:rPr>
            </w:pPr>
            <w:r>
              <w:rPr>
                <w:rFonts w:ascii="仿宋_GB2312" w:hAnsi="仿宋_GB2312" w:cs="仿宋_GB2312"/>
                <w:sz w:val="24"/>
              </w:rPr>
              <w:t>5</w:t>
            </w:r>
          </w:p>
        </w:tc>
        <w:tc>
          <w:tcPr>
            <w:tcW w:w="1134" w:type="dxa"/>
            <w:tcBorders>
              <w:top w:val="single" w:color="000000" w:sz="4" w:space="0"/>
              <w:left w:val="single" w:color="000000" w:sz="2"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88" w:lineRule="auto"/>
              <w:ind w:firstLine="0" w:firstLineChars="0"/>
              <w:jc w:val="center"/>
              <w:rPr>
                <w:rFonts w:ascii="仿宋_GB2312" w:hAnsi="仿宋_GB2312" w:cs="仿宋_GB2312"/>
                <w:sz w:val="24"/>
              </w:rPr>
            </w:pPr>
            <w:r>
              <w:rPr>
                <w:rFonts w:hint="eastAsia" w:ascii="仿宋_GB2312" w:hAnsi="仿宋_GB2312" w:cs="仿宋_GB2312"/>
                <w:sz w:val="24"/>
              </w:rPr>
              <w:t>约束性</w:t>
            </w:r>
          </w:p>
        </w:tc>
      </w:tr>
      <w:tr>
        <w:tblPrEx>
          <w:tblCellMar>
            <w:top w:w="0" w:type="dxa"/>
            <w:left w:w="10" w:type="dxa"/>
            <w:bottom w:w="0" w:type="dxa"/>
            <w:right w:w="10" w:type="dxa"/>
          </w:tblCellMar>
        </w:tblPrEx>
        <w:trPr>
          <w:trHeight w:val="826" w:hRule="atLeast"/>
          <w:jc w:val="center"/>
        </w:trPr>
        <w:tc>
          <w:tcPr>
            <w:tcW w:w="818" w:type="dxa"/>
            <w:vMerge w:val="restart"/>
            <w:tcBorders>
              <w:top w:val="single" w:color="000000" w:sz="4" w:space="0"/>
              <w:left w:val="single" w:color="000000" w:sz="4" w:space="0"/>
              <w:bottom w:val="nil"/>
              <w:right w:val="single" w:color="000000" w:sz="4" w:space="0"/>
            </w:tcBorders>
            <w:shd w:val="clear" w:color="auto" w:fill="FFFFFF"/>
            <w:tcMar>
              <w:top w:w="0" w:type="dxa"/>
              <w:left w:w="108" w:type="dxa"/>
              <w:bottom w:w="0" w:type="dxa"/>
              <w:right w:w="108" w:type="dxa"/>
            </w:tcMar>
            <w:vAlign w:val="center"/>
          </w:tcPr>
          <w:p>
            <w:pPr>
              <w:spacing w:line="288" w:lineRule="auto"/>
              <w:ind w:firstLine="0" w:firstLineChars="0"/>
              <w:rPr>
                <w:rFonts w:ascii="仿宋_GB2312" w:hAnsi="仿宋_GB2312" w:cs="仿宋_GB2312"/>
                <w:sz w:val="24"/>
              </w:rPr>
            </w:pPr>
            <w:r>
              <w:rPr>
                <w:rFonts w:hint="eastAsia" w:ascii="仿宋_GB2312" w:hAnsi="仿宋_GB2312" w:cs="仿宋_GB2312"/>
                <w:sz w:val="24"/>
              </w:rPr>
              <w:t>文物安全成 效</w:t>
            </w:r>
          </w:p>
        </w:tc>
        <w:tc>
          <w:tcPr>
            <w:tcW w:w="782" w:type="dxa"/>
            <w:tcBorders>
              <w:top w:val="single" w:color="000000" w:sz="4" w:space="0"/>
              <w:left w:val="single" w:color="000000" w:sz="2"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88" w:lineRule="auto"/>
              <w:ind w:firstLine="0" w:firstLineChars="0"/>
              <w:jc w:val="center"/>
              <w:rPr>
                <w:rFonts w:ascii="仿宋_GB2312" w:hAnsi="仿宋_GB2312" w:cs="仿宋_GB2312"/>
                <w:sz w:val="24"/>
              </w:rPr>
            </w:pPr>
            <w:r>
              <w:rPr>
                <w:rFonts w:hint="eastAsia" w:ascii="仿宋_GB2312" w:hAnsi="仿宋_GB2312" w:cs="仿宋_GB2312"/>
                <w:sz w:val="24"/>
              </w:rPr>
              <w:t>5</w:t>
            </w:r>
          </w:p>
        </w:tc>
        <w:tc>
          <w:tcPr>
            <w:tcW w:w="4395" w:type="dxa"/>
            <w:tcBorders>
              <w:top w:val="single" w:color="000000" w:sz="4" w:space="0"/>
              <w:left w:val="single" w:color="000000" w:sz="2"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88" w:lineRule="auto"/>
              <w:ind w:firstLine="0" w:firstLineChars="0"/>
              <w:rPr>
                <w:rFonts w:ascii="仿宋_GB2312" w:hAnsi="仿宋_GB2312" w:cs="仿宋_GB2312"/>
                <w:sz w:val="24"/>
              </w:rPr>
            </w:pPr>
            <w:r>
              <w:rPr>
                <w:rFonts w:hint="eastAsia" w:ascii="仿宋_GB2312" w:hAnsi="仿宋_GB2312" w:cs="仿宋_GB2312"/>
                <w:sz w:val="24"/>
              </w:rPr>
              <w:t>全国重点文物保护单位“四有”工作完成率（%）</w:t>
            </w:r>
          </w:p>
        </w:tc>
        <w:tc>
          <w:tcPr>
            <w:tcW w:w="992" w:type="dxa"/>
            <w:tcBorders>
              <w:top w:val="single" w:color="000000" w:sz="4" w:space="0"/>
              <w:left w:val="single" w:color="000000" w:sz="2"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88" w:lineRule="auto"/>
              <w:ind w:firstLine="0" w:firstLineChars="0"/>
              <w:jc w:val="center"/>
              <w:rPr>
                <w:rFonts w:ascii="仿宋_GB2312" w:hAnsi="仿宋_GB2312" w:cs="仿宋_GB2312"/>
                <w:strike/>
                <w:sz w:val="24"/>
              </w:rPr>
            </w:pPr>
            <w:r>
              <w:rPr>
                <w:rFonts w:ascii="仿宋_GB2312" w:hAnsi="仿宋_GB2312" w:cs="仿宋_GB2312"/>
                <w:sz w:val="24"/>
              </w:rPr>
              <w:t>100</w:t>
            </w:r>
          </w:p>
        </w:tc>
        <w:tc>
          <w:tcPr>
            <w:tcW w:w="1134" w:type="dxa"/>
            <w:tcBorders>
              <w:top w:val="single" w:color="000000" w:sz="4" w:space="0"/>
              <w:left w:val="single" w:color="000000" w:sz="2"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88" w:lineRule="auto"/>
              <w:ind w:firstLine="0" w:firstLineChars="0"/>
              <w:jc w:val="center"/>
              <w:rPr>
                <w:rFonts w:ascii="仿宋_GB2312" w:hAnsi="仿宋_GB2312" w:cs="仿宋_GB2312"/>
                <w:sz w:val="24"/>
              </w:rPr>
            </w:pPr>
            <w:r>
              <w:rPr>
                <w:rFonts w:hint="eastAsia" w:ascii="仿宋_GB2312" w:hAnsi="仿宋_GB2312" w:cs="仿宋_GB2312"/>
                <w:sz w:val="24"/>
              </w:rPr>
              <w:t>约束性</w:t>
            </w:r>
          </w:p>
        </w:tc>
      </w:tr>
      <w:tr>
        <w:tblPrEx>
          <w:tblCellMar>
            <w:top w:w="0" w:type="dxa"/>
            <w:left w:w="10" w:type="dxa"/>
            <w:bottom w:w="0" w:type="dxa"/>
            <w:right w:w="10" w:type="dxa"/>
          </w:tblCellMar>
        </w:tblPrEx>
        <w:trPr>
          <w:trHeight w:val="846" w:hRule="atLeast"/>
          <w:jc w:val="center"/>
        </w:trPr>
        <w:tc>
          <w:tcPr>
            <w:tcW w:w="818" w:type="dxa"/>
            <w:vMerge w:val="continue"/>
            <w:tcBorders>
              <w:top w:val="single" w:color="000000" w:sz="4" w:space="0"/>
              <w:left w:val="single" w:color="000000" w:sz="4" w:space="0"/>
              <w:bottom w:val="nil"/>
              <w:right w:val="single" w:color="000000" w:sz="4" w:space="0"/>
            </w:tcBorders>
            <w:shd w:val="clear" w:color="auto" w:fill="auto"/>
            <w:vAlign w:val="center"/>
          </w:tcPr>
          <w:p>
            <w:pPr>
              <w:widowControl/>
              <w:spacing w:line="288" w:lineRule="auto"/>
              <w:ind w:firstLine="0" w:firstLineChars="0"/>
              <w:jc w:val="left"/>
              <w:rPr>
                <w:rFonts w:ascii="仿宋_GB2312" w:hAnsi="仿宋_GB2312" w:cs="仿宋_GB2312"/>
                <w:sz w:val="24"/>
              </w:rPr>
            </w:pPr>
          </w:p>
        </w:tc>
        <w:tc>
          <w:tcPr>
            <w:tcW w:w="782" w:type="dxa"/>
            <w:tcBorders>
              <w:top w:val="single" w:color="000000" w:sz="4" w:space="0"/>
              <w:left w:val="single" w:color="000000" w:sz="2"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88" w:lineRule="auto"/>
              <w:ind w:firstLine="0" w:firstLineChars="0"/>
              <w:jc w:val="center"/>
              <w:rPr>
                <w:rFonts w:ascii="仿宋_GB2312" w:hAnsi="仿宋_GB2312" w:cs="仿宋_GB2312"/>
                <w:sz w:val="24"/>
              </w:rPr>
            </w:pPr>
            <w:r>
              <w:rPr>
                <w:rFonts w:hint="eastAsia" w:ascii="仿宋_GB2312" w:hAnsi="仿宋_GB2312" w:cs="仿宋_GB2312"/>
                <w:sz w:val="24"/>
              </w:rPr>
              <w:t>6</w:t>
            </w:r>
          </w:p>
        </w:tc>
        <w:tc>
          <w:tcPr>
            <w:tcW w:w="4395" w:type="dxa"/>
            <w:tcBorders>
              <w:top w:val="single" w:color="000000" w:sz="4" w:space="0"/>
              <w:left w:val="single" w:color="000000" w:sz="2"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88" w:lineRule="auto"/>
              <w:ind w:firstLine="0" w:firstLineChars="0"/>
              <w:rPr>
                <w:rFonts w:ascii="仿宋_GB2312" w:hAnsi="仿宋_GB2312" w:cs="仿宋_GB2312"/>
                <w:sz w:val="24"/>
              </w:rPr>
            </w:pPr>
            <w:r>
              <w:rPr>
                <w:rFonts w:hint="eastAsia" w:ascii="仿宋_GB2312" w:hAnsi="仿宋_GB2312" w:cs="仿宋_GB2312"/>
                <w:sz w:val="24"/>
              </w:rPr>
              <w:t>市级文物保护单位“四有”工作完成率（%）</w:t>
            </w:r>
          </w:p>
        </w:tc>
        <w:tc>
          <w:tcPr>
            <w:tcW w:w="992" w:type="dxa"/>
            <w:tcBorders>
              <w:top w:val="single" w:color="000000" w:sz="4" w:space="0"/>
              <w:left w:val="single" w:color="000000" w:sz="2"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88" w:lineRule="auto"/>
              <w:ind w:firstLine="0" w:firstLineChars="0"/>
              <w:jc w:val="center"/>
              <w:rPr>
                <w:rFonts w:ascii="仿宋_GB2312" w:hAnsi="仿宋_GB2312" w:cs="仿宋_GB2312"/>
                <w:sz w:val="24"/>
              </w:rPr>
            </w:pPr>
            <w:r>
              <w:rPr>
                <w:rFonts w:ascii="仿宋_GB2312" w:hAnsi="仿宋_GB2312" w:cs="仿宋_GB2312"/>
                <w:sz w:val="24"/>
              </w:rPr>
              <w:t>100</w:t>
            </w:r>
          </w:p>
        </w:tc>
        <w:tc>
          <w:tcPr>
            <w:tcW w:w="1134" w:type="dxa"/>
            <w:tcBorders>
              <w:top w:val="single" w:color="000000" w:sz="4" w:space="0"/>
              <w:left w:val="single" w:color="000000" w:sz="2"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88" w:lineRule="auto"/>
              <w:ind w:firstLine="0" w:firstLineChars="0"/>
              <w:jc w:val="center"/>
              <w:rPr>
                <w:rFonts w:ascii="仿宋_GB2312" w:hAnsi="仿宋_GB2312" w:cs="仿宋_GB2312"/>
                <w:sz w:val="24"/>
              </w:rPr>
            </w:pPr>
            <w:r>
              <w:rPr>
                <w:rFonts w:hint="eastAsia" w:ascii="仿宋_GB2312" w:hAnsi="仿宋_GB2312" w:cs="仿宋_GB2312"/>
                <w:sz w:val="24"/>
              </w:rPr>
              <w:t>约束性</w:t>
            </w:r>
          </w:p>
        </w:tc>
      </w:tr>
      <w:tr>
        <w:tblPrEx>
          <w:tblCellMar>
            <w:top w:w="0" w:type="dxa"/>
            <w:left w:w="10" w:type="dxa"/>
            <w:bottom w:w="0" w:type="dxa"/>
            <w:right w:w="10" w:type="dxa"/>
          </w:tblCellMar>
        </w:tblPrEx>
        <w:trPr>
          <w:jc w:val="center"/>
        </w:trPr>
        <w:tc>
          <w:tcPr>
            <w:tcW w:w="818" w:type="dxa"/>
            <w:vMerge w:val="continue"/>
            <w:tcBorders>
              <w:top w:val="single" w:color="000000" w:sz="4" w:space="0"/>
              <w:left w:val="single" w:color="000000" w:sz="4" w:space="0"/>
              <w:bottom w:val="nil"/>
              <w:right w:val="single" w:color="000000" w:sz="4" w:space="0"/>
            </w:tcBorders>
            <w:shd w:val="clear" w:color="auto" w:fill="auto"/>
            <w:vAlign w:val="center"/>
          </w:tcPr>
          <w:p>
            <w:pPr>
              <w:widowControl/>
              <w:spacing w:line="288" w:lineRule="auto"/>
              <w:ind w:firstLine="0" w:firstLineChars="0"/>
              <w:jc w:val="left"/>
              <w:rPr>
                <w:rFonts w:ascii="仿宋_GB2312" w:hAnsi="仿宋_GB2312" w:cs="仿宋_GB2312"/>
                <w:sz w:val="24"/>
              </w:rPr>
            </w:pPr>
          </w:p>
        </w:tc>
        <w:tc>
          <w:tcPr>
            <w:tcW w:w="782" w:type="dxa"/>
            <w:tcBorders>
              <w:top w:val="single" w:color="000000" w:sz="4" w:space="0"/>
              <w:left w:val="single" w:color="000000" w:sz="2"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88" w:lineRule="auto"/>
              <w:ind w:firstLine="0" w:firstLineChars="0"/>
              <w:jc w:val="center"/>
              <w:rPr>
                <w:rFonts w:ascii="仿宋_GB2312" w:hAnsi="仿宋_GB2312" w:cs="仿宋_GB2312"/>
                <w:sz w:val="24"/>
              </w:rPr>
            </w:pPr>
            <w:r>
              <w:rPr>
                <w:rFonts w:hint="eastAsia" w:ascii="仿宋_GB2312" w:hAnsi="仿宋_GB2312" w:cs="仿宋_GB2312"/>
                <w:sz w:val="24"/>
              </w:rPr>
              <w:t>7</w:t>
            </w:r>
          </w:p>
        </w:tc>
        <w:tc>
          <w:tcPr>
            <w:tcW w:w="4395" w:type="dxa"/>
            <w:tcBorders>
              <w:top w:val="single" w:color="000000" w:sz="4" w:space="0"/>
              <w:left w:val="single" w:color="000000" w:sz="2"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88" w:lineRule="auto"/>
              <w:ind w:firstLine="0" w:firstLineChars="0"/>
              <w:rPr>
                <w:rFonts w:ascii="仿宋_GB2312" w:hAnsi="仿宋_GB2312" w:cs="仿宋_GB2312"/>
                <w:sz w:val="24"/>
              </w:rPr>
            </w:pPr>
            <w:r>
              <w:rPr>
                <w:rFonts w:hint="eastAsia" w:ascii="仿宋_GB2312" w:hAnsi="仿宋_GB2312" w:cs="仿宋_GB2312"/>
                <w:sz w:val="24"/>
              </w:rPr>
              <w:t>市级及以上文物保护单位“两线”纳入各级国土空间规划完成率（%）</w:t>
            </w:r>
          </w:p>
        </w:tc>
        <w:tc>
          <w:tcPr>
            <w:tcW w:w="992" w:type="dxa"/>
            <w:tcBorders>
              <w:top w:val="single" w:color="000000" w:sz="4" w:space="0"/>
              <w:left w:val="single" w:color="000000" w:sz="2"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88" w:lineRule="auto"/>
              <w:ind w:firstLine="0" w:firstLineChars="0"/>
              <w:jc w:val="center"/>
              <w:rPr>
                <w:rFonts w:ascii="仿宋_GB2312" w:hAnsi="仿宋_GB2312" w:cs="仿宋_GB2312"/>
                <w:sz w:val="24"/>
              </w:rPr>
            </w:pPr>
            <w:r>
              <w:rPr>
                <w:rFonts w:hint="eastAsia" w:ascii="仿宋_GB2312" w:hAnsi="仿宋_GB2312" w:cs="仿宋_GB2312"/>
                <w:sz w:val="24"/>
              </w:rPr>
              <w:t>100</w:t>
            </w:r>
          </w:p>
        </w:tc>
        <w:tc>
          <w:tcPr>
            <w:tcW w:w="1134" w:type="dxa"/>
            <w:tcBorders>
              <w:top w:val="single" w:color="000000" w:sz="4" w:space="0"/>
              <w:left w:val="single" w:color="000000" w:sz="2"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88" w:lineRule="auto"/>
              <w:ind w:firstLine="0" w:firstLineChars="0"/>
              <w:jc w:val="center"/>
              <w:rPr>
                <w:rFonts w:ascii="仿宋_GB2312" w:hAnsi="仿宋_GB2312" w:cs="仿宋_GB2312"/>
                <w:sz w:val="24"/>
              </w:rPr>
            </w:pPr>
            <w:r>
              <w:rPr>
                <w:rFonts w:hint="eastAsia" w:ascii="仿宋_GB2312" w:hAnsi="仿宋_GB2312" w:cs="仿宋_GB2312"/>
                <w:sz w:val="24"/>
              </w:rPr>
              <w:t>约束性</w:t>
            </w:r>
          </w:p>
        </w:tc>
      </w:tr>
      <w:tr>
        <w:tblPrEx>
          <w:tblCellMar>
            <w:top w:w="0" w:type="dxa"/>
            <w:left w:w="10" w:type="dxa"/>
            <w:bottom w:w="0" w:type="dxa"/>
            <w:right w:w="10" w:type="dxa"/>
          </w:tblCellMar>
        </w:tblPrEx>
        <w:trPr>
          <w:jc w:val="center"/>
        </w:trPr>
        <w:tc>
          <w:tcPr>
            <w:tcW w:w="818"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88" w:lineRule="auto"/>
              <w:ind w:firstLine="0" w:firstLineChars="0"/>
              <w:jc w:val="left"/>
              <w:rPr>
                <w:rFonts w:ascii="仿宋_GB2312" w:hAnsi="仿宋_GB2312" w:cs="仿宋_GB2312"/>
                <w:sz w:val="24"/>
              </w:rPr>
            </w:pPr>
          </w:p>
        </w:tc>
        <w:tc>
          <w:tcPr>
            <w:tcW w:w="782" w:type="dxa"/>
            <w:tcBorders>
              <w:top w:val="single" w:color="000000" w:sz="4" w:space="0"/>
              <w:left w:val="single" w:color="000000" w:sz="2"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88" w:lineRule="auto"/>
              <w:ind w:firstLine="0" w:firstLineChars="0"/>
              <w:jc w:val="center"/>
              <w:rPr>
                <w:rFonts w:ascii="仿宋_GB2312" w:hAnsi="仿宋_GB2312" w:cs="仿宋_GB2312"/>
                <w:sz w:val="24"/>
              </w:rPr>
            </w:pPr>
            <w:r>
              <w:rPr>
                <w:rFonts w:hint="eastAsia" w:ascii="仿宋_GB2312" w:hAnsi="仿宋_GB2312" w:cs="仿宋_GB2312"/>
                <w:sz w:val="24"/>
              </w:rPr>
              <w:t>8</w:t>
            </w:r>
          </w:p>
        </w:tc>
        <w:tc>
          <w:tcPr>
            <w:tcW w:w="4395" w:type="dxa"/>
            <w:tcBorders>
              <w:top w:val="single" w:color="000000" w:sz="4" w:space="0"/>
              <w:left w:val="single" w:color="000000" w:sz="2"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88" w:lineRule="auto"/>
              <w:ind w:firstLine="0" w:firstLineChars="0"/>
              <w:rPr>
                <w:rFonts w:ascii="仿宋_GB2312" w:hAnsi="仿宋_GB2312" w:cs="仿宋_GB2312"/>
                <w:sz w:val="24"/>
              </w:rPr>
            </w:pPr>
            <w:r>
              <w:rPr>
                <w:rFonts w:hint="eastAsia" w:ascii="仿宋_GB2312" w:hAnsi="仿宋_GB2312" w:cs="仿宋_GB2312"/>
                <w:sz w:val="24"/>
              </w:rPr>
              <w:t>全国重点文物保护单位防火防盗设施建设率（%）</w:t>
            </w:r>
          </w:p>
        </w:tc>
        <w:tc>
          <w:tcPr>
            <w:tcW w:w="992" w:type="dxa"/>
            <w:tcBorders>
              <w:top w:val="single" w:color="000000" w:sz="4" w:space="0"/>
              <w:left w:val="single" w:color="000000" w:sz="2"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88" w:lineRule="auto"/>
              <w:ind w:firstLine="0" w:firstLineChars="0"/>
              <w:jc w:val="center"/>
              <w:rPr>
                <w:rFonts w:ascii="仿宋_GB2312" w:hAnsi="仿宋_GB2312" w:cs="仿宋_GB2312"/>
                <w:sz w:val="24"/>
              </w:rPr>
            </w:pPr>
            <w:r>
              <w:rPr>
                <w:rFonts w:hint="eastAsia" w:ascii="仿宋_GB2312" w:hAnsi="仿宋_GB2312" w:cs="仿宋_GB2312"/>
                <w:sz w:val="24"/>
              </w:rPr>
              <w:t>100</w:t>
            </w:r>
          </w:p>
        </w:tc>
        <w:tc>
          <w:tcPr>
            <w:tcW w:w="1134" w:type="dxa"/>
            <w:tcBorders>
              <w:top w:val="single" w:color="000000" w:sz="4" w:space="0"/>
              <w:left w:val="single" w:color="000000" w:sz="2"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88" w:lineRule="auto"/>
              <w:ind w:firstLine="0" w:firstLineChars="0"/>
              <w:jc w:val="center"/>
              <w:rPr>
                <w:rFonts w:ascii="仿宋_GB2312" w:hAnsi="仿宋_GB2312" w:cs="仿宋_GB2312"/>
                <w:sz w:val="24"/>
              </w:rPr>
            </w:pPr>
            <w:r>
              <w:rPr>
                <w:rFonts w:hint="eastAsia" w:ascii="仿宋_GB2312" w:hAnsi="仿宋_GB2312" w:cs="仿宋_GB2312"/>
                <w:sz w:val="24"/>
              </w:rPr>
              <w:t>预期性</w:t>
            </w:r>
          </w:p>
        </w:tc>
      </w:tr>
      <w:tr>
        <w:tblPrEx>
          <w:tblCellMar>
            <w:top w:w="0" w:type="dxa"/>
            <w:left w:w="10" w:type="dxa"/>
            <w:bottom w:w="0" w:type="dxa"/>
            <w:right w:w="10" w:type="dxa"/>
          </w:tblCellMar>
        </w:tblPrEx>
        <w:trPr>
          <w:jc w:val="center"/>
        </w:trPr>
        <w:tc>
          <w:tcPr>
            <w:tcW w:w="818" w:type="dxa"/>
            <w:vMerge w:val="restart"/>
            <w:tcBorders>
              <w:top w:val="single" w:color="auto" w:sz="4" w:space="0"/>
              <w:left w:val="single" w:color="auto" w:sz="4" w:space="0"/>
              <w:right w:val="single" w:color="auto" w:sz="4" w:space="0"/>
            </w:tcBorders>
            <w:shd w:val="clear" w:color="auto" w:fill="FFFFFF"/>
            <w:tcMar>
              <w:top w:w="0" w:type="dxa"/>
              <w:left w:w="108" w:type="dxa"/>
              <w:bottom w:w="0" w:type="dxa"/>
              <w:right w:w="108" w:type="dxa"/>
            </w:tcMar>
            <w:vAlign w:val="center"/>
          </w:tcPr>
          <w:p>
            <w:pPr>
              <w:spacing w:line="288" w:lineRule="auto"/>
              <w:ind w:firstLine="0" w:firstLineChars="0"/>
              <w:rPr>
                <w:rFonts w:ascii="仿宋_GB2312" w:hAnsi="仿宋_GB2312" w:cs="仿宋_GB2312"/>
                <w:sz w:val="24"/>
              </w:rPr>
            </w:pPr>
            <w:r>
              <w:rPr>
                <w:rFonts w:hint="eastAsia" w:ascii="仿宋_GB2312" w:hAnsi="仿宋_GB2312" w:cs="仿宋_GB2312"/>
                <w:sz w:val="24"/>
              </w:rPr>
              <w:t>博物馆发展</w:t>
            </w:r>
          </w:p>
        </w:tc>
        <w:tc>
          <w:tcPr>
            <w:tcW w:w="782" w:type="dxa"/>
            <w:tcBorders>
              <w:top w:val="single" w:color="000000" w:sz="4" w:space="0"/>
              <w:left w:val="single" w:color="auto"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88" w:lineRule="auto"/>
              <w:ind w:firstLine="0" w:firstLineChars="0"/>
              <w:jc w:val="center"/>
              <w:rPr>
                <w:rFonts w:ascii="仿宋_GB2312" w:hAnsi="仿宋_GB2312" w:cs="仿宋_GB2312"/>
                <w:sz w:val="24"/>
              </w:rPr>
            </w:pPr>
            <w:r>
              <w:rPr>
                <w:rFonts w:hint="eastAsia" w:ascii="仿宋_GB2312" w:hAnsi="仿宋_GB2312" w:cs="仿宋_GB2312"/>
                <w:sz w:val="24"/>
              </w:rPr>
              <w:t>9</w:t>
            </w:r>
          </w:p>
        </w:tc>
        <w:tc>
          <w:tcPr>
            <w:tcW w:w="4395" w:type="dxa"/>
            <w:tcBorders>
              <w:top w:val="single" w:color="000000" w:sz="4" w:space="0"/>
              <w:left w:val="single" w:color="000000" w:sz="2"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88" w:lineRule="auto"/>
              <w:ind w:firstLine="0" w:firstLineChars="0"/>
              <w:rPr>
                <w:rFonts w:ascii="仿宋_GB2312" w:hAnsi="仿宋_GB2312" w:cs="仿宋_GB2312"/>
                <w:sz w:val="24"/>
              </w:rPr>
            </w:pPr>
            <w:r>
              <w:rPr>
                <w:rFonts w:hint="eastAsia" w:ascii="仿宋_GB2312" w:hAnsi="仿宋_GB2312" w:cs="仿宋_GB2312"/>
                <w:sz w:val="24"/>
              </w:rPr>
              <w:t>全市备案博物馆总数（家）</w:t>
            </w:r>
          </w:p>
        </w:tc>
        <w:tc>
          <w:tcPr>
            <w:tcW w:w="992" w:type="dxa"/>
            <w:tcBorders>
              <w:top w:val="single" w:color="000000" w:sz="4" w:space="0"/>
              <w:left w:val="single" w:color="000000" w:sz="2"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88" w:lineRule="auto"/>
              <w:ind w:firstLine="0" w:firstLineChars="0"/>
              <w:jc w:val="center"/>
              <w:rPr>
                <w:rFonts w:ascii="仿宋_GB2312" w:hAnsi="仿宋_GB2312" w:cs="仿宋_GB2312"/>
                <w:sz w:val="24"/>
              </w:rPr>
            </w:pPr>
            <w:r>
              <w:rPr>
                <w:rFonts w:ascii="仿宋_GB2312" w:hAnsi="仿宋_GB2312" w:cs="仿宋_GB2312"/>
                <w:sz w:val="24"/>
              </w:rPr>
              <w:t>260</w:t>
            </w:r>
          </w:p>
        </w:tc>
        <w:tc>
          <w:tcPr>
            <w:tcW w:w="1134" w:type="dxa"/>
            <w:tcBorders>
              <w:top w:val="single" w:color="000000" w:sz="4" w:space="0"/>
              <w:left w:val="single" w:color="000000" w:sz="2"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88" w:lineRule="auto"/>
              <w:ind w:firstLine="0" w:firstLineChars="0"/>
              <w:jc w:val="center"/>
              <w:rPr>
                <w:rFonts w:ascii="仿宋_GB2312" w:hAnsi="仿宋_GB2312" w:cs="仿宋_GB2312"/>
                <w:sz w:val="24"/>
              </w:rPr>
            </w:pPr>
            <w:r>
              <w:rPr>
                <w:rFonts w:hint="eastAsia" w:ascii="仿宋_GB2312" w:hAnsi="仿宋_GB2312" w:cs="仿宋_GB2312"/>
                <w:sz w:val="24"/>
              </w:rPr>
              <w:t>约束性</w:t>
            </w:r>
          </w:p>
        </w:tc>
      </w:tr>
      <w:tr>
        <w:tblPrEx>
          <w:tblCellMar>
            <w:top w:w="0" w:type="dxa"/>
            <w:left w:w="10" w:type="dxa"/>
            <w:bottom w:w="0" w:type="dxa"/>
            <w:right w:w="10" w:type="dxa"/>
          </w:tblCellMar>
        </w:tblPrEx>
        <w:trPr>
          <w:jc w:val="center"/>
        </w:trPr>
        <w:tc>
          <w:tcPr>
            <w:tcW w:w="818" w:type="dxa"/>
            <w:vMerge w:val="continue"/>
            <w:tcBorders>
              <w:left w:val="single" w:color="auto" w:sz="4" w:space="0"/>
              <w:right w:val="single" w:color="auto" w:sz="4" w:space="0"/>
            </w:tcBorders>
            <w:shd w:val="clear" w:color="auto" w:fill="FFFFFF"/>
            <w:vAlign w:val="center"/>
          </w:tcPr>
          <w:p>
            <w:pPr>
              <w:widowControl/>
              <w:spacing w:line="288" w:lineRule="auto"/>
              <w:ind w:firstLine="0" w:firstLineChars="0"/>
              <w:jc w:val="left"/>
              <w:rPr>
                <w:rFonts w:ascii="仿宋_GB2312" w:hAnsi="仿宋_GB2312" w:cs="仿宋_GB2312"/>
                <w:sz w:val="24"/>
              </w:rPr>
            </w:pPr>
          </w:p>
        </w:tc>
        <w:tc>
          <w:tcPr>
            <w:tcW w:w="782" w:type="dxa"/>
            <w:tcBorders>
              <w:top w:val="single" w:color="000000" w:sz="4" w:space="0"/>
              <w:left w:val="single" w:color="auto"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88" w:lineRule="auto"/>
              <w:ind w:firstLine="0" w:firstLineChars="0"/>
              <w:jc w:val="center"/>
              <w:rPr>
                <w:rFonts w:ascii="仿宋_GB2312" w:hAnsi="仿宋_GB2312" w:cs="仿宋_GB2312"/>
                <w:sz w:val="24"/>
              </w:rPr>
            </w:pPr>
            <w:r>
              <w:rPr>
                <w:rFonts w:hint="eastAsia" w:ascii="仿宋_GB2312" w:hAnsi="仿宋_GB2312" w:cs="仿宋_GB2312"/>
                <w:sz w:val="24"/>
              </w:rPr>
              <w:t>10</w:t>
            </w:r>
          </w:p>
        </w:tc>
        <w:tc>
          <w:tcPr>
            <w:tcW w:w="4395" w:type="dxa"/>
            <w:tcBorders>
              <w:top w:val="single" w:color="000000" w:sz="4" w:space="0"/>
              <w:left w:val="single" w:color="000000" w:sz="2"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88" w:lineRule="auto"/>
              <w:ind w:firstLine="0" w:firstLineChars="0"/>
              <w:rPr>
                <w:rFonts w:ascii="仿宋_GB2312" w:hAnsi="仿宋_GB2312" w:cs="仿宋_GB2312"/>
                <w:sz w:val="24"/>
              </w:rPr>
            </w:pPr>
            <w:r>
              <w:rPr>
                <w:rFonts w:hint="eastAsia" w:ascii="仿宋_GB2312" w:hAnsi="仿宋_GB2312" w:cs="仿宋_GB2312"/>
                <w:sz w:val="24"/>
              </w:rPr>
              <w:t>每10万人拥有博物馆数量（家）</w:t>
            </w:r>
          </w:p>
        </w:tc>
        <w:tc>
          <w:tcPr>
            <w:tcW w:w="992" w:type="dxa"/>
            <w:tcBorders>
              <w:top w:val="single" w:color="000000" w:sz="4" w:space="0"/>
              <w:left w:val="single" w:color="000000" w:sz="2"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88" w:lineRule="auto"/>
              <w:ind w:firstLine="0" w:firstLineChars="0"/>
              <w:jc w:val="center"/>
              <w:rPr>
                <w:rFonts w:ascii="仿宋_GB2312" w:hAnsi="仿宋_GB2312" w:cs="仿宋_GB2312"/>
                <w:sz w:val="24"/>
              </w:rPr>
            </w:pPr>
            <w:r>
              <w:rPr>
                <w:rFonts w:hint="eastAsia" w:ascii="仿宋_GB2312" w:hAnsi="仿宋_GB2312" w:cs="仿宋_GB2312"/>
                <w:sz w:val="24"/>
              </w:rPr>
              <w:t>1.2</w:t>
            </w:r>
          </w:p>
        </w:tc>
        <w:tc>
          <w:tcPr>
            <w:tcW w:w="1134" w:type="dxa"/>
            <w:tcBorders>
              <w:top w:val="single" w:color="000000" w:sz="4" w:space="0"/>
              <w:left w:val="single" w:color="000000" w:sz="2"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88" w:lineRule="auto"/>
              <w:ind w:firstLine="0" w:firstLineChars="0"/>
              <w:jc w:val="center"/>
              <w:rPr>
                <w:rFonts w:ascii="仿宋_GB2312" w:hAnsi="仿宋_GB2312" w:cs="仿宋_GB2312"/>
                <w:sz w:val="24"/>
              </w:rPr>
            </w:pPr>
            <w:r>
              <w:rPr>
                <w:rFonts w:hint="eastAsia" w:ascii="仿宋_GB2312" w:hAnsi="仿宋_GB2312" w:cs="仿宋_GB2312"/>
                <w:sz w:val="24"/>
              </w:rPr>
              <w:t>预期性</w:t>
            </w:r>
          </w:p>
        </w:tc>
      </w:tr>
      <w:tr>
        <w:tblPrEx>
          <w:tblCellMar>
            <w:top w:w="0" w:type="dxa"/>
            <w:left w:w="10" w:type="dxa"/>
            <w:bottom w:w="0" w:type="dxa"/>
            <w:right w:w="10" w:type="dxa"/>
          </w:tblCellMar>
        </w:tblPrEx>
        <w:trPr>
          <w:jc w:val="center"/>
        </w:trPr>
        <w:tc>
          <w:tcPr>
            <w:tcW w:w="818" w:type="dxa"/>
            <w:vMerge w:val="continue"/>
            <w:tcBorders>
              <w:left w:val="single" w:color="auto" w:sz="4" w:space="0"/>
              <w:right w:val="single" w:color="auto" w:sz="4" w:space="0"/>
            </w:tcBorders>
            <w:shd w:val="clear" w:color="auto" w:fill="FFFFFF"/>
            <w:vAlign w:val="center"/>
          </w:tcPr>
          <w:p>
            <w:pPr>
              <w:widowControl/>
              <w:spacing w:line="288" w:lineRule="auto"/>
              <w:ind w:firstLine="0" w:firstLineChars="0"/>
              <w:jc w:val="left"/>
              <w:rPr>
                <w:rFonts w:ascii="仿宋_GB2312" w:hAnsi="仿宋_GB2312" w:cs="仿宋_GB2312"/>
                <w:sz w:val="24"/>
              </w:rPr>
            </w:pPr>
          </w:p>
        </w:tc>
        <w:tc>
          <w:tcPr>
            <w:tcW w:w="782" w:type="dxa"/>
            <w:tcBorders>
              <w:top w:val="single" w:color="000000" w:sz="4" w:space="0"/>
              <w:left w:val="single" w:color="auto"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88" w:lineRule="auto"/>
              <w:ind w:firstLine="0" w:firstLineChars="0"/>
              <w:jc w:val="center"/>
              <w:rPr>
                <w:rFonts w:ascii="仿宋_GB2312" w:hAnsi="仿宋_GB2312" w:cs="仿宋_GB2312"/>
                <w:sz w:val="24"/>
              </w:rPr>
            </w:pPr>
            <w:r>
              <w:rPr>
                <w:rFonts w:hint="eastAsia" w:ascii="仿宋_GB2312" w:hAnsi="仿宋_GB2312" w:cs="仿宋_GB2312"/>
                <w:sz w:val="24"/>
              </w:rPr>
              <w:t>11</w:t>
            </w:r>
          </w:p>
        </w:tc>
        <w:tc>
          <w:tcPr>
            <w:tcW w:w="4395" w:type="dxa"/>
            <w:tcBorders>
              <w:top w:val="single" w:color="000000" w:sz="4" w:space="0"/>
              <w:left w:val="single" w:color="000000" w:sz="2"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88" w:lineRule="auto"/>
              <w:ind w:firstLine="0" w:firstLineChars="0"/>
              <w:rPr>
                <w:rFonts w:ascii="仿宋_GB2312" w:hAnsi="仿宋_GB2312" w:cs="仿宋_GB2312"/>
                <w:b/>
                <w:bCs/>
                <w:sz w:val="24"/>
              </w:rPr>
            </w:pPr>
            <w:r>
              <w:rPr>
                <w:rFonts w:hint="eastAsia" w:ascii="仿宋_GB2312" w:hAnsi="仿宋_GB2312" w:cs="仿宋_GB2312"/>
                <w:sz w:val="24"/>
              </w:rPr>
              <w:t>年均参观博物馆人数（万人次）</w:t>
            </w:r>
          </w:p>
        </w:tc>
        <w:tc>
          <w:tcPr>
            <w:tcW w:w="992" w:type="dxa"/>
            <w:tcBorders>
              <w:top w:val="single" w:color="000000" w:sz="4" w:space="0"/>
              <w:left w:val="single" w:color="000000" w:sz="2"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88" w:lineRule="auto"/>
              <w:ind w:firstLine="0" w:firstLineChars="0"/>
              <w:jc w:val="center"/>
              <w:rPr>
                <w:rFonts w:ascii="仿宋_GB2312" w:hAnsi="仿宋_GB2312" w:cs="仿宋_GB2312"/>
                <w:sz w:val="24"/>
              </w:rPr>
            </w:pPr>
            <w:r>
              <w:rPr>
                <w:rFonts w:hint="eastAsia" w:ascii="仿宋_GB2312" w:hAnsi="仿宋_GB2312" w:cs="仿宋_GB2312"/>
                <w:sz w:val="24"/>
              </w:rPr>
              <w:t>6000</w:t>
            </w:r>
          </w:p>
        </w:tc>
        <w:tc>
          <w:tcPr>
            <w:tcW w:w="1134" w:type="dxa"/>
            <w:tcBorders>
              <w:top w:val="single" w:color="000000" w:sz="4" w:space="0"/>
              <w:left w:val="single" w:color="000000" w:sz="2"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88" w:lineRule="auto"/>
              <w:ind w:firstLine="0" w:firstLineChars="0"/>
              <w:jc w:val="center"/>
              <w:rPr>
                <w:rFonts w:ascii="仿宋_GB2312" w:hAnsi="仿宋_GB2312" w:cs="仿宋_GB2312"/>
                <w:sz w:val="24"/>
              </w:rPr>
            </w:pPr>
            <w:r>
              <w:rPr>
                <w:rFonts w:hint="eastAsia" w:ascii="仿宋_GB2312" w:hAnsi="仿宋_GB2312" w:cs="仿宋_GB2312"/>
                <w:sz w:val="24"/>
              </w:rPr>
              <w:t>预期性</w:t>
            </w:r>
          </w:p>
        </w:tc>
      </w:tr>
      <w:tr>
        <w:tblPrEx>
          <w:tblCellMar>
            <w:top w:w="0" w:type="dxa"/>
            <w:left w:w="10" w:type="dxa"/>
            <w:bottom w:w="0" w:type="dxa"/>
            <w:right w:w="10" w:type="dxa"/>
          </w:tblCellMar>
        </w:tblPrEx>
        <w:trPr>
          <w:jc w:val="center"/>
        </w:trPr>
        <w:tc>
          <w:tcPr>
            <w:tcW w:w="818" w:type="dxa"/>
            <w:vMerge w:val="continue"/>
            <w:tcBorders>
              <w:left w:val="single" w:color="auto" w:sz="4" w:space="0"/>
              <w:right w:val="single" w:color="auto" w:sz="4" w:space="0"/>
            </w:tcBorders>
            <w:shd w:val="clear" w:color="auto" w:fill="FFFFFF"/>
            <w:vAlign w:val="center"/>
          </w:tcPr>
          <w:p>
            <w:pPr>
              <w:widowControl/>
              <w:spacing w:line="288" w:lineRule="auto"/>
              <w:ind w:firstLine="0" w:firstLineChars="0"/>
              <w:jc w:val="left"/>
              <w:rPr>
                <w:rFonts w:ascii="仿宋_GB2312" w:hAnsi="仿宋_GB2312" w:cs="仿宋_GB2312"/>
                <w:sz w:val="24"/>
              </w:rPr>
            </w:pPr>
          </w:p>
        </w:tc>
        <w:tc>
          <w:tcPr>
            <w:tcW w:w="782" w:type="dxa"/>
            <w:tcBorders>
              <w:top w:val="single" w:color="000000" w:sz="2" w:space="0"/>
              <w:left w:val="single" w:color="auto"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88" w:lineRule="auto"/>
              <w:ind w:firstLine="0" w:firstLineChars="0"/>
              <w:jc w:val="center"/>
              <w:rPr>
                <w:rFonts w:ascii="仿宋_GB2312" w:hAnsi="仿宋_GB2312" w:cs="仿宋_GB2312"/>
                <w:sz w:val="24"/>
              </w:rPr>
            </w:pPr>
            <w:r>
              <w:rPr>
                <w:rFonts w:hint="eastAsia" w:ascii="仿宋_GB2312" w:hAnsi="仿宋_GB2312" w:cs="仿宋_GB2312"/>
                <w:sz w:val="24"/>
              </w:rPr>
              <w:t>12</w:t>
            </w:r>
          </w:p>
        </w:tc>
        <w:tc>
          <w:tcPr>
            <w:tcW w:w="4395" w:type="dxa"/>
            <w:tcBorders>
              <w:top w:val="single" w:color="000000" w:sz="2" w:space="0"/>
              <w:left w:val="single" w:color="000000" w:sz="2"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88" w:lineRule="auto"/>
              <w:ind w:firstLine="0" w:firstLineChars="0"/>
              <w:rPr>
                <w:rFonts w:ascii="仿宋_GB2312" w:hAnsi="仿宋_GB2312" w:cs="仿宋_GB2312"/>
                <w:sz w:val="24"/>
              </w:rPr>
            </w:pPr>
            <w:r>
              <w:rPr>
                <w:rFonts w:hint="eastAsia" w:ascii="仿宋_GB2312" w:hAnsi="仿宋_GB2312" w:cs="仿宋_GB2312"/>
                <w:sz w:val="24"/>
              </w:rPr>
              <w:t>年举办陈列展览数量（项）</w:t>
            </w:r>
          </w:p>
        </w:tc>
        <w:tc>
          <w:tcPr>
            <w:tcW w:w="992" w:type="dxa"/>
            <w:tcBorders>
              <w:top w:val="single" w:color="000000" w:sz="2" w:space="0"/>
              <w:left w:val="single" w:color="000000" w:sz="2"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88" w:lineRule="auto"/>
              <w:ind w:firstLine="0" w:firstLineChars="0"/>
              <w:jc w:val="center"/>
              <w:rPr>
                <w:rFonts w:ascii="仿宋_GB2312" w:hAnsi="仿宋_GB2312" w:cs="仿宋_GB2312"/>
                <w:sz w:val="24"/>
              </w:rPr>
            </w:pPr>
            <w:r>
              <w:rPr>
                <w:rFonts w:hint="eastAsia" w:ascii="仿宋_GB2312" w:hAnsi="仿宋_GB2312" w:cs="仿宋_GB2312"/>
                <w:sz w:val="24"/>
              </w:rPr>
              <w:t>600</w:t>
            </w:r>
          </w:p>
        </w:tc>
        <w:tc>
          <w:tcPr>
            <w:tcW w:w="1134" w:type="dxa"/>
            <w:tcBorders>
              <w:top w:val="single" w:color="000000" w:sz="2" w:space="0"/>
              <w:left w:val="single" w:color="000000" w:sz="2"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88" w:lineRule="auto"/>
              <w:ind w:firstLine="0" w:firstLineChars="0"/>
              <w:jc w:val="center"/>
              <w:rPr>
                <w:rFonts w:ascii="仿宋_GB2312" w:hAnsi="仿宋_GB2312" w:cs="仿宋_GB2312"/>
                <w:sz w:val="24"/>
              </w:rPr>
            </w:pPr>
            <w:r>
              <w:rPr>
                <w:rFonts w:hint="eastAsia" w:ascii="仿宋_GB2312" w:hAnsi="仿宋_GB2312" w:cs="仿宋_GB2312"/>
                <w:sz w:val="24"/>
              </w:rPr>
              <w:t>预期性</w:t>
            </w:r>
          </w:p>
        </w:tc>
      </w:tr>
      <w:tr>
        <w:tblPrEx>
          <w:tblCellMar>
            <w:top w:w="0" w:type="dxa"/>
            <w:left w:w="10" w:type="dxa"/>
            <w:bottom w:w="0" w:type="dxa"/>
            <w:right w:w="10" w:type="dxa"/>
          </w:tblCellMar>
        </w:tblPrEx>
        <w:trPr>
          <w:jc w:val="center"/>
        </w:trPr>
        <w:tc>
          <w:tcPr>
            <w:tcW w:w="818" w:type="dxa"/>
            <w:vMerge w:val="continue"/>
            <w:tcBorders>
              <w:left w:val="single" w:color="auto" w:sz="4" w:space="0"/>
              <w:right w:val="single" w:color="auto" w:sz="4" w:space="0"/>
            </w:tcBorders>
            <w:shd w:val="clear" w:color="auto" w:fill="FFFFFF"/>
            <w:vAlign w:val="center"/>
          </w:tcPr>
          <w:p>
            <w:pPr>
              <w:widowControl/>
              <w:spacing w:line="288" w:lineRule="auto"/>
              <w:ind w:firstLine="0" w:firstLineChars="0"/>
              <w:jc w:val="left"/>
              <w:rPr>
                <w:rFonts w:ascii="仿宋_GB2312" w:hAnsi="仿宋_GB2312" w:cs="仿宋_GB2312"/>
                <w:sz w:val="24"/>
              </w:rPr>
            </w:pPr>
          </w:p>
        </w:tc>
        <w:tc>
          <w:tcPr>
            <w:tcW w:w="782" w:type="dxa"/>
            <w:tcBorders>
              <w:top w:val="single" w:color="000000" w:sz="2" w:space="0"/>
              <w:left w:val="single" w:color="auto"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88" w:lineRule="auto"/>
              <w:ind w:firstLine="0" w:firstLineChars="0"/>
              <w:jc w:val="center"/>
              <w:rPr>
                <w:rFonts w:ascii="仿宋_GB2312" w:hAnsi="仿宋_GB2312" w:cs="仿宋_GB2312"/>
                <w:sz w:val="24"/>
              </w:rPr>
            </w:pPr>
            <w:r>
              <w:rPr>
                <w:rFonts w:hint="eastAsia" w:ascii="仿宋_GB2312" w:hAnsi="仿宋_GB2312" w:cs="仿宋_GB2312"/>
                <w:sz w:val="24"/>
              </w:rPr>
              <w:t>13</w:t>
            </w:r>
          </w:p>
        </w:tc>
        <w:tc>
          <w:tcPr>
            <w:tcW w:w="4395" w:type="dxa"/>
            <w:tcBorders>
              <w:top w:val="single" w:color="000000" w:sz="2" w:space="0"/>
              <w:left w:val="single" w:color="000000" w:sz="2"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88" w:lineRule="auto"/>
              <w:ind w:firstLine="0" w:firstLineChars="0"/>
              <w:rPr>
                <w:rFonts w:ascii="仿宋_GB2312" w:hAnsi="仿宋_GB2312" w:cs="仿宋_GB2312"/>
                <w:sz w:val="24"/>
              </w:rPr>
            </w:pPr>
            <w:r>
              <w:rPr>
                <w:rFonts w:hint="eastAsia" w:ascii="仿宋_GB2312" w:hAnsi="仿宋_GB2312" w:cs="仿宋_GB2312"/>
                <w:sz w:val="24"/>
              </w:rPr>
              <w:t>文博单位文化创意产品知名品牌（个）</w:t>
            </w:r>
          </w:p>
        </w:tc>
        <w:tc>
          <w:tcPr>
            <w:tcW w:w="992" w:type="dxa"/>
            <w:tcBorders>
              <w:top w:val="single" w:color="000000" w:sz="2" w:space="0"/>
              <w:left w:val="single" w:color="000000" w:sz="2"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88" w:lineRule="auto"/>
              <w:ind w:firstLine="0" w:firstLineChars="0"/>
              <w:jc w:val="center"/>
              <w:rPr>
                <w:rFonts w:ascii="仿宋_GB2312" w:hAnsi="仿宋_GB2312" w:cs="仿宋_GB2312"/>
                <w:sz w:val="24"/>
              </w:rPr>
            </w:pPr>
            <w:r>
              <w:rPr>
                <w:rFonts w:ascii="仿宋_GB2312" w:hAnsi="仿宋_GB2312" w:cs="仿宋_GB2312"/>
                <w:sz w:val="24"/>
              </w:rPr>
              <w:t>10</w:t>
            </w:r>
          </w:p>
        </w:tc>
        <w:tc>
          <w:tcPr>
            <w:tcW w:w="1134" w:type="dxa"/>
            <w:tcBorders>
              <w:top w:val="single" w:color="000000" w:sz="2" w:space="0"/>
              <w:left w:val="single" w:color="000000" w:sz="2"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88" w:lineRule="auto"/>
              <w:ind w:firstLine="0" w:firstLineChars="0"/>
              <w:jc w:val="center"/>
              <w:rPr>
                <w:rFonts w:ascii="仿宋_GB2312" w:hAnsi="仿宋_GB2312" w:cs="仿宋_GB2312"/>
                <w:sz w:val="24"/>
              </w:rPr>
            </w:pPr>
            <w:r>
              <w:rPr>
                <w:rFonts w:hint="eastAsia" w:ascii="仿宋_GB2312" w:hAnsi="仿宋_GB2312" w:cs="仿宋_GB2312"/>
                <w:sz w:val="24"/>
              </w:rPr>
              <w:t>预期性</w:t>
            </w:r>
          </w:p>
        </w:tc>
      </w:tr>
      <w:tr>
        <w:tblPrEx>
          <w:tblCellMar>
            <w:top w:w="0" w:type="dxa"/>
            <w:left w:w="10" w:type="dxa"/>
            <w:bottom w:w="0" w:type="dxa"/>
            <w:right w:w="10" w:type="dxa"/>
          </w:tblCellMar>
        </w:tblPrEx>
        <w:trPr>
          <w:jc w:val="center"/>
        </w:trPr>
        <w:tc>
          <w:tcPr>
            <w:tcW w:w="818"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spacing w:line="288" w:lineRule="auto"/>
              <w:ind w:firstLine="0" w:firstLineChars="0"/>
              <w:rPr>
                <w:rFonts w:ascii="仿宋_GB2312" w:hAnsi="仿宋_GB2312" w:cs="仿宋_GB2312"/>
                <w:sz w:val="24"/>
              </w:rPr>
            </w:pPr>
            <w:r>
              <w:rPr>
                <w:rFonts w:hint="eastAsia" w:ascii="仿宋_GB2312" w:hAnsi="仿宋_GB2312" w:cs="仿宋_GB2312"/>
                <w:sz w:val="24"/>
              </w:rPr>
              <w:t>文物市场发 展</w:t>
            </w:r>
          </w:p>
        </w:tc>
        <w:tc>
          <w:tcPr>
            <w:tcW w:w="782" w:type="dxa"/>
            <w:tcBorders>
              <w:top w:val="single" w:color="000000" w:sz="2" w:space="0"/>
              <w:left w:val="single" w:color="auto" w:sz="4" w:space="0"/>
              <w:bottom w:val="single" w:color="000000" w:sz="2" w:space="0"/>
              <w:right w:val="single" w:color="000000" w:sz="4" w:space="0"/>
            </w:tcBorders>
            <w:shd w:val="clear" w:color="auto" w:fill="FFFFFF"/>
            <w:tcMar>
              <w:top w:w="0" w:type="dxa"/>
              <w:left w:w="108" w:type="dxa"/>
              <w:bottom w:w="0" w:type="dxa"/>
              <w:right w:w="108" w:type="dxa"/>
            </w:tcMar>
            <w:vAlign w:val="center"/>
          </w:tcPr>
          <w:p>
            <w:pPr>
              <w:spacing w:line="288" w:lineRule="auto"/>
              <w:ind w:firstLine="0" w:firstLineChars="0"/>
              <w:jc w:val="center"/>
              <w:rPr>
                <w:rFonts w:ascii="仿宋_GB2312" w:hAnsi="仿宋_GB2312" w:cs="仿宋_GB2312"/>
                <w:sz w:val="24"/>
              </w:rPr>
            </w:pPr>
            <w:r>
              <w:rPr>
                <w:rFonts w:hint="eastAsia" w:ascii="仿宋_GB2312" w:hAnsi="仿宋_GB2312" w:cs="仿宋_GB2312"/>
                <w:sz w:val="24"/>
              </w:rPr>
              <w:t>1</w:t>
            </w:r>
            <w:r>
              <w:rPr>
                <w:rFonts w:ascii="仿宋_GB2312" w:hAnsi="仿宋_GB2312" w:cs="仿宋_GB2312"/>
                <w:sz w:val="24"/>
              </w:rPr>
              <w:t>4</w:t>
            </w:r>
          </w:p>
        </w:tc>
        <w:tc>
          <w:tcPr>
            <w:tcW w:w="4395" w:type="dxa"/>
            <w:tcBorders>
              <w:top w:val="single" w:color="000000" w:sz="2" w:space="0"/>
              <w:left w:val="single" w:color="000000" w:sz="2" w:space="0"/>
              <w:bottom w:val="single" w:color="000000" w:sz="2" w:space="0"/>
              <w:right w:val="single" w:color="000000" w:sz="4" w:space="0"/>
            </w:tcBorders>
            <w:shd w:val="clear" w:color="auto" w:fill="FFFFFF"/>
            <w:tcMar>
              <w:top w:w="0" w:type="dxa"/>
              <w:left w:w="108" w:type="dxa"/>
              <w:bottom w:w="0" w:type="dxa"/>
              <w:right w:w="108" w:type="dxa"/>
            </w:tcMar>
            <w:vAlign w:val="center"/>
          </w:tcPr>
          <w:p>
            <w:pPr>
              <w:spacing w:line="288" w:lineRule="auto"/>
              <w:ind w:firstLine="0" w:firstLineChars="0"/>
              <w:rPr>
                <w:rFonts w:ascii="仿宋_GB2312" w:hAnsi="仿宋_GB2312" w:cs="仿宋_GB2312"/>
                <w:sz w:val="24"/>
              </w:rPr>
            </w:pPr>
            <w:r>
              <w:rPr>
                <w:rFonts w:hint="eastAsia" w:ascii="仿宋_GB2312" w:hAnsi="仿宋_GB2312" w:cs="仿宋_GB2312"/>
                <w:sz w:val="24"/>
              </w:rPr>
              <w:t>文物市场规模（亿元）</w:t>
            </w:r>
          </w:p>
        </w:tc>
        <w:tc>
          <w:tcPr>
            <w:tcW w:w="992" w:type="dxa"/>
            <w:tcBorders>
              <w:top w:val="single" w:color="000000" w:sz="2" w:space="0"/>
              <w:left w:val="single" w:color="000000" w:sz="2" w:space="0"/>
              <w:bottom w:val="single" w:color="000000" w:sz="2" w:space="0"/>
              <w:right w:val="single" w:color="000000" w:sz="4" w:space="0"/>
            </w:tcBorders>
            <w:shd w:val="clear" w:color="auto" w:fill="FFFFFF"/>
            <w:tcMar>
              <w:top w:w="0" w:type="dxa"/>
              <w:left w:w="108" w:type="dxa"/>
              <w:bottom w:w="0" w:type="dxa"/>
              <w:right w:w="108" w:type="dxa"/>
            </w:tcMar>
            <w:vAlign w:val="center"/>
          </w:tcPr>
          <w:p>
            <w:pPr>
              <w:spacing w:line="288" w:lineRule="auto"/>
              <w:ind w:firstLine="0" w:firstLineChars="0"/>
              <w:jc w:val="center"/>
              <w:rPr>
                <w:rFonts w:ascii="仿宋_GB2312" w:hAnsi="仿宋_GB2312" w:cs="仿宋_GB2312"/>
                <w:sz w:val="24"/>
              </w:rPr>
            </w:pPr>
            <w:r>
              <w:rPr>
                <w:rFonts w:hint="eastAsia" w:ascii="仿宋_GB2312" w:hAnsi="仿宋_GB2312" w:cs="仿宋_GB2312"/>
                <w:sz w:val="24"/>
              </w:rPr>
              <w:t>220</w:t>
            </w:r>
          </w:p>
        </w:tc>
        <w:tc>
          <w:tcPr>
            <w:tcW w:w="1134" w:type="dxa"/>
            <w:tcBorders>
              <w:top w:val="single" w:color="000000" w:sz="2" w:space="0"/>
              <w:left w:val="single" w:color="000000" w:sz="2" w:space="0"/>
              <w:bottom w:val="single" w:color="000000" w:sz="2" w:space="0"/>
              <w:right w:val="single" w:color="000000" w:sz="4" w:space="0"/>
            </w:tcBorders>
            <w:shd w:val="clear" w:color="auto" w:fill="FFFFFF"/>
            <w:tcMar>
              <w:top w:w="0" w:type="dxa"/>
              <w:left w:w="108" w:type="dxa"/>
              <w:bottom w:w="0" w:type="dxa"/>
              <w:right w:w="108" w:type="dxa"/>
            </w:tcMar>
            <w:vAlign w:val="center"/>
          </w:tcPr>
          <w:p>
            <w:pPr>
              <w:spacing w:line="288" w:lineRule="auto"/>
              <w:ind w:firstLine="0" w:firstLineChars="0"/>
              <w:jc w:val="center"/>
              <w:rPr>
                <w:rFonts w:ascii="仿宋_GB2312" w:hAnsi="仿宋_GB2312" w:cs="仿宋_GB2312"/>
                <w:sz w:val="24"/>
              </w:rPr>
            </w:pPr>
            <w:r>
              <w:rPr>
                <w:rFonts w:hint="eastAsia" w:ascii="仿宋_GB2312" w:hAnsi="仿宋_GB2312" w:cs="仿宋_GB2312"/>
                <w:sz w:val="24"/>
              </w:rPr>
              <w:t>预期性</w:t>
            </w:r>
          </w:p>
        </w:tc>
      </w:tr>
      <w:tr>
        <w:tblPrEx>
          <w:tblCellMar>
            <w:top w:w="0" w:type="dxa"/>
            <w:left w:w="10" w:type="dxa"/>
            <w:bottom w:w="0" w:type="dxa"/>
            <w:right w:w="10" w:type="dxa"/>
          </w:tblCellMar>
        </w:tblPrEx>
        <w:trPr>
          <w:jc w:val="center"/>
        </w:trPr>
        <w:tc>
          <w:tcPr>
            <w:tcW w:w="81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8" w:lineRule="auto"/>
              <w:ind w:firstLine="0" w:firstLineChars="0"/>
              <w:jc w:val="left"/>
              <w:rPr>
                <w:rFonts w:ascii="仿宋_GB2312" w:hAnsi="仿宋_GB2312" w:cs="仿宋_GB2312"/>
                <w:sz w:val="24"/>
              </w:rPr>
            </w:pPr>
          </w:p>
        </w:tc>
        <w:tc>
          <w:tcPr>
            <w:tcW w:w="782" w:type="dxa"/>
            <w:tcBorders>
              <w:top w:val="single" w:color="000000" w:sz="2" w:space="0"/>
              <w:left w:val="single" w:color="auto" w:sz="4" w:space="0"/>
              <w:bottom w:val="single" w:color="auto" w:sz="4" w:space="0"/>
              <w:right w:val="single" w:color="000000" w:sz="4" w:space="0"/>
            </w:tcBorders>
            <w:shd w:val="clear" w:color="auto" w:fill="FFFFFF"/>
            <w:tcMar>
              <w:top w:w="0" w:type="dxa"/>
              <w:left w:w="108" w:type="dxa"/>
              <w:bottom w:w="0" w:type="dxa"/>
              <w:right w:w="108" w:type="dxa"/>
            </w:tcMar>
            <w:vAlign w:val="center"/>
          </w:tcPr>
          <w:p>
            <w:pPr>
              <w:spacing w:line="288" w:lineRule="auto"/>
              <w:ind w:firstLine="0" w:firstLineChars="0"/>
              <w:jc w:val="center"/>
              <w:rPr>
                <w:rFonts w:ascii="仿宋_GB2312" w:hAnsi="仿宋_GB2312" w:cs="仿宋_GB2312"/>
                <w:sz w:val="24"/>
              </w:rPr>
            </w:pPr>
            <w:r>
              <w:rPr>
                <w:rFonts w:hint="eastAsia" w:ascii="仿宋_GB2312" w:hAnsi="仿宋_GB2312" w:cs="仿宋_GB2312"/>
                <w:sz w:val="24"/>
              </w:rPr>
              <w:t>1</w:t>
            </w:r>
            <w:r>
              <w:rPr>
                <w:rFonts w:ascii="仿宋_GB2312" w:hAnsi="仿宋_GB2312" w:cs="仿宋_GB2312"/>
                <w:sz w:val="24"/>
              </w:rPr>
              <w:t>5</w:t>
            </w:r>
          </w:p>
        </w:tc>
        <w:tc>
          <w:tcPr>
            <w:tcW w:w="4395" w:type="dxa"/>
            <w:tcBorders>
              <w:top w:val="single" w:color="000000" w:sz="2" w:space="0"/>
              <w:left w:val="single" w:color="000000" w:sz="2" w:space="0"/>
              <w:bottom w:val="single" w:color="auto" w:sz="4" w:space="0"/>
              <w:right w:val="single" w:color="000000" w:sz="4" w:space="0"/>
            </w:tcBorders>
            <w:shd w:val="clear" w:color="auto" w:fill="FFFFFF"/>
            <w:tcMar>
              <w:top w:w="0" w:type="dxa"/>
              <w:left w:w="108" w:type="dxa"/>
              <w:bottom w:w="0" w:type="dxa"/>
              <w:right w:w="108" w:type="dxa"/>
            </w:tcMar>
            <w:vAlign w:val="center"/>
          </w:tcPr>
          <w:p>
            <w:pPr>
              <w:spacing w:line="288" w:lineRule="auto"/>
              <w:ind w:firstLine="0" w:firstLineChars="0"/>
              <w:rPr>
                <w:rFonts w:ascii="仿宋_GB2312" w:hAnsi="仿宋_GB2312" w:cs="仿宋_GB2312"/>
                <w:sz w:val="24"/>
              </w:rPr>
            </w:pPr>
            <w:r>
              <w:rPr>
                <w:rFonts w:hint="eastAsia" w:ascii="仿宋_GB2312" w:hAnsi="仿宋_GB2312" w:cs="仿宋_GB2312"/>
                <w:sz w:val="24"/>
              </w:rPr>
              <w:t>文物流通机构数量增幅（%）</w:t>
            </w:r>
          </w:p>
        </w:tc>
        <w:tc>
          <w:tcPr>
            <w:tcW w:w="992" w:type="dxa"/>
            <w:tcBorders>
              <w:top w:val="single" w:color="000000" w:sz="2" w:space="0"/>
              <w:left w:val="single" w:color="000000" w:sz="2" w:space="0"/>
              <w:bottom w:val="single" w:color="auto" w:sz="4" w:space="0"/>
              <w:right w:val="single" w:color="000000" w:sz="4" w:space="0"/>
            </w:tcBorders>
            <w:shd w:val="clear" w:color="auto" w:fill="FFFFFF"/>
            <w:tcMar>
              <w:top w:w="0" w:type="dxa"/>
              <w:left w:w="108" w:type="dxa"/>
              <w:bottom w:w="0" w:type="dxa"/>
              <w:right w:w="108" w:type="dxa"/>
            </w:tcMar>
            <w:vAlign w:val="center"/>
          </w:tcPr>
          <w:p>
            <w:pPr>
              <w:spacing w:line="288" w:lineRule="auto"/>
              <w:ind w:firstLine="0" w:firstLineChars="0"/>
              <w:jc w:val="center"/>
              <w:rPr>
                <w:rFonts w:ascii="仿宋_GB2312" w:hAnsi="仿宋_GB2312" w:cs="仿宋_GB2312"/>
                <w:sz w:val="24"/>
              </w:rPr>
            </w:pPr>
            <w:r>
              <w:rPr>
                <w:rFonts w:hint="eastAsia" w:ascii="仿宋_GB2312" w:hAnsi="仿宋_GB2312" w:cs="仿宋_GB2312"/>
                <w:sz w:val="24"/>
              </w:rPr>
              <w:t>3</w:t>
            </w:r>
          </w:p>
        </w:tc>
        <w:tc>
          <w:tcPr>
            <w:tcW w:w="1134" w:type="dxa"/>
            <w:tcBorders>
              <w:top w:val="single" w:color="000000" w:sz="2" w:space="0"/>
              <w:left w:val="single" w:color="000000" w:sz="2" w:space="0"/>
              <w:bottom w:val="single" w:color="auto" w:sz="4" w:space="0"/>
              <w:right w:val="single" w:color="000000" w:sz="4" w:space="0"/>
            </w:tcBorders>
            <w:shd w:val="clear" w:color="auto" w:fill="FFFFFF"/>
            <w:tcMar>
              <w:top w:w="0" w:type="dxa"/>
              <w:left w:w="108" w:type="dxa"/>
              <w:bottom w:w="0" w:type="dxa"/>
              <w:right w:w="108" w:type="dxa"/>
            </w:tcMar>
            <w:vAlign w:val="center"/>
          </w:tcPr>
          <w:p>
            <w:pPr>
              <w:spacing w:line="288" w:lineRule="auto"/>
              <w:ind w:firstLine="0" w:firstLineChars="0"/>
              <w:jc w:val="center"/>
              <w:rPr>
                <w:rFonts w:ascii="仿宋_GB2312" w:hAnsi="仿宋_GB2312" w:cs="仿宋_GB2312"/>
                <w:sz w:val="24"/>
              </w:rPr>
            </w:pPr>
            <w:r>
              <w:rPr>
                <w:rFonts w:hint="eastAsia" w:ascii="仿宋_GB2312" w:hAnsi="仿宋_GB2312" w:cs="仿宋_GB2312"/>
                <w:sz w:val="24"/>
              </w:rPr>
              <w:t>预期性</w:t>
            </w:r>
          </w:p>
        </w:tc>
      </w:tr>
      <w:tr>
        <w:tblPrEx>
          <w:tblCellMar>
            <w:top w:w="0" w:type="dxa"/>
            <w:left w:w="10" w:type="dxa"/>
            <w:bottom w:w="0" w:type="dxa"/>
            <w:right w:w="10" w:type="dxa"/>
          </w:tblCellMar>
        </w:tblPrEx>
        <w:trPr>
          <w:jc w:val="center"/>
        </w:trPr>
        <w:tc>
          <w:tcPr>
            <w:tcW w:w="81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spacing w:line="288" w:lineRule="auto"/>
              <w:ind w:firstLine="0" w:firstLineChars="0"/>
              <w:rPr>
                <w:rFonts w:ascii="仿宋_GB2312" w:hAnsi="仿宋_GB2312" w:cs="仿宋_GB2312"/>
                <w:sz w:val="24"/>
              </w:rPr>
            </w:pPr>
            <w:r>
              <w:rPr>
                <w:rFonts w:hint="eastAsia" w:ascii="仿宋_GB2312" w:hAnsi="仿宋_GB2312" w:cs="仿宋_GB2312"/>
                <w:sz w:val="24"/>
              </w:rPr>
              <w:t>人才队伍建 设</w:t>
            </w:r>
          </w:p>
        </w:tc>
        <w:tc>
          <w:tcPr>
            <w:tcW w:w="782" w:type="dxa"/>
            <w:tcBorders>
              <w:top w:val="single" w:color="auto" w:sz="4" w:space="0"/>
              <w:left w:val="single" w:color="auto" w:sz="4" w:space="0"/>
              <w:bottom w:val="single" w:color="auto" w:sz="4" w:space="0"/>
              <w:right w:val="single" w:color="000000" w:sz="4" w:space="0"/>
            </w:tcBorders>
            <w:shd w:val="clear" w:color="auto" w:fill="FFFFFF"/>
            <w:tcMar>
              <w:top w:w="0" w:type="dxa"/>
              <w:left w:w="108" w:type="dxa"/>
              <w:bottom w:w="0" w:type="dxa"/>
              <w:right w:w="108" w:type="dxa"/>
            </w:tcMar>
            <w:vAlign w:val="center"/>
          </w:tcPr>
          <w:p>
            <w:pPr>
              <w:spacing w:line="288" w:lineRule="auto"/>
              <w:ind w:firstLine="0" w:firstLineChars="0"/>
              <w:jc w:val="center"/>
              <w:rPr>
                <w:rFonts w:ascii="仿宋_GB2312" w:hAnsi="仿宋_GB2312" w:cs="仿宋_GB2312"/>
                <w:sz w:val="24"/>
              </w:rPr>
            </w:pPr>
            <w:r>
              <w:rPr>
                <w:rFonts w:hint="eastAsia" w:ascii="仿宋_GB2312" w:hAnsi="仿宋_GB2312" w:cs="仿宋_GB2312"/>
                <w:sz w:val="24"/>
              </w:rPr>
              <w:t>1</w:t>
            </w:r>
            <w:r>
              <w:rPr>
                <w:rFonts w:ascii="仿宋_GB2312" w:hAnsi="仿宋_GB2312" w:cs="仿宋_GB2312"/>
                <w:sz w:val="24"/>
              </w:rPr>
              <w:t>6</w:t>
            </w:r>
          </w:p>
        </w:tc>
        <w:tc>
          <w:tcPr>
            <w:tcW w:w="4395" w:type="dxa"/>
            <w:tcBorders>
              <w:top w:val="single" w:color="auto" w:sz="4" w:space="0"/>
              <w:left w:val="single" w:color="000000" w:sz="2" w:space="0"/>
              <w:bottom w:val="single" w:color="auto" w:sz="4" w:space="0"/>
              <w:right w:val="single" w:color="000000" w:sz="4" w:space="0"/>
            </w:tcBorders>
            <w:shd w:val="clear" w:color="auto" w:fill="FFFFFF"/>
            <w:tcMar>
              <w:top w:w="0" w:type="dxa"/>
              <w:left w:w="108" w:type="dxa"/>
              <w:bottom w:w="0" w:type="dxa"/>
              <w:right w:w="108" w:type="dxa"/>
            </w:tcMar>
            <w:vAlign w:val="center"/>
          </w:tcPr>
          <w:p>
            <w:pPr>
              <w:spacing w:line="288" w:lineRule="auto"/>
              <w:ind w:firstLine="0" w:firstLineChars="0"/>
              <w:rPr>
                <w:rFonts w:ascii="仿宋_GB2312" w:hAnsi="仿宋_GB2312" w:cs="仿宋_GB2312"/>
                <w:sz w:val="24"/>
              </w:rPr>
            </w:pPr>
            <w:r>
              <w:rPr>
                <w:rFonts w:hint="eastAsia" w:ascii="仿宋_GB2312" w:hAnsi="仿宋_GB2312" w:cs="仿宋_GB2312"/>
                <w:sz w:val="24"/>
              </w:rPr>
              <w:t>年培训文物技能、科技、管理人才（人次）</w:t>
            </w:r>
          </w:p>
        </w:tc>
        <w:tc>
          <w:tcPr>
            <w:tcW w:w="992" w:type="dxa"/>
            <w:tcBorders>
              <w:top w:val="single" w:color="auto" w:sz="4" w:space="0"/>
              <w:left w:val="single" w:color="000000" w:sz="2" w:space="0"/>
              <w:bottom w:val="single" w:color="auto" w:sz="4" w:space="0"/>
              <w:right w:val="single" w:color="000000" w:sz="4" w:space="0"/>
            </w:tcBorders>
            <w:shd w:val="clear" w:color="auto" w:fill="FFFFFF"/>
            <w:tcMar>
              <w:top w:w="0" w:type="dxa"/>
              <w:left w:w="108" w:type="dxa"/>
              <w:bottom w:w="0" w:type="dxa"/>
              <w:right w:w="108" w:type="dxa"/>
            </w:tcMar>
            <w:vAlign w:val="center"/>
          </w:tcPr>
          <w:p>
            <w:pPr>
              <w:spacing w:line="288" w:lineRule="auto"/>
              <w:ind w:firstLine="0" w:firstLineChars="0"/>
              <w:jc w:val="center"/>
              <w:rPr>
                <w:rFonts w:ascii="仿宋_GB2312" w:hAnsi="仿宋_GB2312" w:cs="仿宋_GB2312"/>
                <w:sz w:val="24"/>
              </w:rPr>
            </w:pPr>
            <w:r>
              <w:rPr>
                <w:rFonts w:hint="eastAsia" w:ascii="仿宋_GB2312" w:hAnsi="仿宋_GB2312" w:cs="仿宋_GB2312"/>
                <w:sz w:val="24"/>
              </w:rPr>
              <w:t>2</w:t>
            </w:r>
            <w:r>
              <w:rPr>
                <w:rFonts w:ascii="仿宋_GB2312" w:hAnsi="仿宋_GB2312" w:cs="仿宋_GB2312"/>
                <w:sz w:val="24"/>
              </w:rPr>
              <w:t>5</w:t>
            </w:r>
            <w:r>
              <w:rPr>
                <w:rFonts w:hint="eastAsia" w:ascii="仿宋_GB2312" w:hAnsi="仿宋_GB2312" w:cs="仿宋_GB2312"/>
                <w:sz w:val="24"/>
              </w:rPr>
              <w:t>00</w:t>
            </w:r>
          </w:p>
        </w:tc>
        <w:tc>
          <w:tcPr>
            <w:tcW w:w="1134" w:type="dxa"/>
            <w:tcBorders>
              <w:top w:val="single" w:color="auto" w:sz="4" w:space="0"/>
              <w:left w:val="single" w:color="000000" w:sz="2" w:space="0"/>
              <w:bottom w:val="single" w:color="auto" w:sz="4" w:space="0"/>
              <w:right w:val="single" w:color="auto" w:sz="4" w:space="0"/>
            </w:tcBorders>
            <w:shd w:val="clear" w:color="auto" w:fill="FFFFFF"/>
            <w:tcMar>
              <w:top w:w="0" w:type="dxa"/>
              <w:left w:w="108" w:type="dxa"/>
              <w:bottom w:w="0" w:type="dxa"/>
              <w:right w:w="108" w:type="dxa"/>
            </w:tcMar>
            <w:vAlign w:val="center"/>
          </w:tcPr>
          <w:p>
            <w:pPr>
              <w:spacing w:line="288" w:lineRule="auto"/>
              <w:ind w:firstLine="0" w:firstLineChars="0"/>
              <w:jc w:val="center"/>
              <w:rPr>
                <w:rFonts w:ascii="仿宋_GB2312" w:hAnsi="仿宋_GB2312" w:cs="仿宋_GB2312"/>
                <w:sz w:val="24"/>
              </w:rPr>
            </w:pPr>
            <w:r>
              <w:rPr>
                <w:rFonts w:hint="eastAsia" w:ascii="仿宋_GB2312" w:hAnsi="仿宋_GB2312" w:cs="仿宋_GB2312"/>
                <w:sz w:val="24"/>
              </w:rPr>
              <w:t>预期性</w:t>
            </w:r>
          </w:p>
        </w:tc>
      </w:tr>
    </w:tbl>
    <w:p>
      <w:pPr>
        <w:ind w:firstLine="0" w:firstLineChars="0"/>
      </w:pPr>
    </w:p>
    <w:p>
      <w:pPr>
        <w:pStyle w:val="5"/>
        <w:spacing w:before="312" w:after="312"/>
      </w:pPr>
      <w:bookmarkStart w:id="49" w:name="_Toc1522047221_WPSOffice_Level1"/>
      <w:r>
        <w:rPr>
          <w:rFonts w:hint="eastAsia"/>
        </w:rPr>
        <w:t>六、主要任务</w:t>
      </w:r>
      <w:bookmarkEnd w:id="36"/>
      <w:bookmarkEnd w:id="49"/>
      <w:bookmarkStart w:id="50" w:name="_Toc43846298"/>
      <w:bookmarkEnd w:id="50"/>
      <w:bookmarkStart w:id="51" w:name="_Toc50369434"/>
      <w:bookmarkEnd w:id="51"/>
      <w:bookmarkStart w:id="52" w:name="_Toc58074357"/>
      <w:bookmarkEnd w:id="52"/>
      <w:bookmarkStart w:id="53" w:name="_Toc76742852"/>
      <w:bookmarkEnd w:id="53"/>
      <w:bookmarkStart w:id="54" w:name="_Toc50369433"/>
      <w:bookmarkEnd w:id="54"/>
      <w:bookmarkStart w:id="55" w:name="_Toc43846305"/>
      <w:bookmarkEnd w:id="55"/>
    </w:p>
    <w:p>
      <w:pPr>
        <w:pStyle w:val="6"/>
        <w:ind w:firstLine="643"/>
      </w:pPr>
      <w:bookmarkStart w:id="56" w:name="_Toc76742853"/>
      <w:bookmarkEnd w:id="56"/>
      <w:bookmarkStart w:id="57" w:name="_Toc646272642_WPSOffice_Level2"/>
      <w:bookmarkStart w:id="58" w:name="_Toc1714873823_WPSOffice_Level2"/>
      <w:r>
        <w:rPr>
          <w:rFonts w:hint="eastAsia"/>
        </w:rPr>
        <w:t>（一）</w:t>
      </w:r>
      <w:bookmarkEnd w:id="57"/>
      <w:bookmarkStart w:id="59" w:name="_Toc43846306"/>
      <w:bookmarkEnd w:id="59"/>
      <w:r>
        <w:rPr>
          <w:rFonts w:hint="eastAsia"/>
        </w:rPr>
        <w:t>推动中轴线申遗保护工作取得新进展</w:t>
      </w:r>
      <w:bookmarkEnd w:id="58"/>
    </w:p>
    <w:p>
      <w:pPr>
        <w:pStyle w:val="7"/>
        <w:ind w:firstLine="643"/>
        <w:rPr>
          <w:color w:val="FF0000"/>
          <w:szCs w:val="32"/>
        </w:rPr>
      </w:pPr>
      <w:r>
        <w:rPr>
          <w:szCs w:val="32"/>
        </w:rPr>
        <w:t>1</w:t>
      </w:r>
      <w:r>
        <w:rPr>
          <w:rFonts w:hint="eastAsia"/>
          <w:szCs w:val="32"/>
        </w:rPr>
        <w:t>.中轴线申遗取得重大突破</w:t>
      </w:r>
    </w:p>
    <w:p>
      <w:pPr>
        <w:ind w:firstLine="640"/>
        <w:rPr>
          <w:rFonts w:ascii="仿宋_GB2312" w:hAnsi="仿宋_GB2312" w:cs="仿宋_GB2312"/>
          <w:szCs w:val="32"/>
        </w:rPr>
      </w:pPr>
      <w:r>
        <w:rPr>
          <w:rFonts w:hint="eastAsia" w:ascii="仿宋_GB2312" w:hAnsi="仿宋_GB2312" w:cs="仿宋_GB2312"/>
          <w:szCs w:val="32"/>
        </w:rPr>
        <w:t>以落实</w:t>
      </w:r>
      <w:r>
        <w:t>《北京中轴线申遗保护三年行动计划</w:t>
      </w:r>
      <w:r>
        <w:rPr>
          <w:rFonts w:hint="eastAsia" w:ascii="仿宋_GB2312" w:hAnsi="仿宋_GB2312" w:eastAsia="仿宋_GB2312" w:cs="仿宋_GB2312"/>
        </w:rPr>
        <w:t>（2020年7月—2023年6月）》</w:t>
      </w:r>
      <w:r>
        <w:rPr>
          <w:rFonts w:hint="eastAsia"/>
        </w:rPr>
        <w:t>为抓手</w:t>
      </w:r>
      <w:r>
        <w:rPr>
          <w:rFonts w:hint="eastAsia" w:ascii="仿宋_GB2312" w:hAnsi="仿宋_GB2312" w:cs="仿宋_GB2312"/>
          <w:szCs w:val="32"/>
        </w:rPr>
        <w:t>，加快推进北京中轴线申遗保护工作。深入挖掘中轴线价值内涵，加强多学科专项研究，</w:t>
      </w:r>
      <w:r>
        <w:rPr>
          <w:rFonts w:hint="eastAsia" w:ascii="仿宋_GB2312" w:hAnsi="仿宋_GB2312" w:cs="仿宋_GB2312"/>
          <w:szCs w:val="32"/>
          <w:lang w:eastAsia="zh-CN"/>
        </w:rPr>
        <w:t>凝练</w:t>
      </w:r>
      <w:r>
        <w:rPr>
          <w:rFonts w:hint="eastAsia" w:ascii="仿宋_GB2312" w:hAnsi="仿宋_GB2312" w:cs="仿宋_GB2312"/>
          <w:szCs w:val="32"/>
        </w:rPr>
        <w:t>中轴线遗产突出普遍价值，完成申遗文本、保护管理规划的编制。积极开展世界文化遗产申报与保护国际合作，加强中轴线国际学术交流，多方听取国内外专家意见，大力宣传中轴线核心价值。加强中轴线遗产区考古工作，统筹做好核心遗产构成文物腾退、保护修缮与风貌整治，恢复坛庙建筑群历史格局，实现向社会有序开放。建立中轴线遗产展陈体系，举办常设专题展览，探索对已消失重要节点的提示性展示，建立中轴线历史文化标识导览系统，打造中轴线文化探访路线。</w:t>
      </w:r>
    </w:p>
    <w:p>
      <w:pPr>
        <w:ind w:firstLine="0" w:firstLineChars="0"/>
        <w:rPr>
          <w:rFonts w:ascii="仿宋_GB2312" w:hAnsi="仿宋_GB2312" w:cs="仿宋_GB2312"/>
          <w:szCs w:val="32"/>
        </w:rPr>
      </w:pPr>
    </w:p>
    <w:p>
      <w:pPr>
        <w:pStyle w:val="7"/>
        <w:ind w:firstLine="643"/>
      </w:pPr>
      <w:bookmarkStart w:id="60" w:name="_Toc43846307"/>
      <w:bookmarkEnd w:id="60"/>
      <w:r>
        <w:rPr>
          <w:rFonts w:hint="eastAsia"/>
        </w:rPr>
        <w:t>2.中轴线遗产保护水平持续提升</w:t>
      </w:r>
    </w:p>
    <w:p>
      <w:pPr>
        <w:ind w:firstLine="640"/>
      </w:pPr>
      <w:r>
        <w:rPr>
          <w:rFonts w:hint="eastAsia"/>
        </w:rPr>
        <w:t>以建设遗产监测保护平台为重点，全面推动中轴线保护管理迈上新台阶。组建中轴线遗产</w:t>
      </w:r>
      <w:r>
        <w:rPr>
          <w:rFonts w:hint="eastAsia" w:ascii="仿宋_GB2312"/>
          <w:szCs w:val="32"/>
        </w:rPr>
        <w:t>议事协调与</w:t>
      </w:r>
      <w:r>
        <w:rPr>
          <w:rFonts w:hint="eastAsia"/>
        </w:rPr>
        <w:t>管理机构，全面负责中轴线保护、监测、研究和展示等工作。出台实施中轴线文化遗产保护条例和风貌管控城市设计导则，明确保护职责，严格法律责任。发挥中轴线保护基金会作用，鼓励引导社会力量参与。开展中轴线遗产价值宣传教育活动，提升中轴线非遗保护传承利用水平，吸引民众走近中轴线，扩大中轴线影响力。积极参与世界遗产相关活动，广泛开展交流对话，有效展示传播中轴线文化魅力。</w:t>
      </w:r>
    </w:p>
    <w:p>
      <w:pPr>
        <w:pStyle w:val="2"/>
        <w:ind w:firstLine="723"/>
      </w:pPr>
    </w:p>
    <w:p>
      <w:pPr>
        <w:pStyle w:val="7"/>
        <w:ind w:firstLine="643"/>
      </w:pPr>
      <w:r>
        <w:rPr>
          <w:rFonts w:hint="eastAsia"/>
        </w:rPr>
        <w:t>3.老城整体保护取得实效</w:t>
      </w:r>
    </w:p>
    <w:p>
      <w:pPr>
        <w:spacing w:after="312" w:afterLines="100"/>
        <w:ind w:firstLine="640"/>
        <w:rPr>
          <w:rFonts w:ascii="仿宋_GB2312" w:hAnsi="仿宋_GB2312" w:cs="仿宋_GB2312"/>
          <w:szCs w:val="32"/>
        </w:rPr>
      </w:pPr>
      <w:r>
        <w:rPr>
          <w:rFonts w:hint="eastAsia"/>
        </w:rPr>
        <w:t>以北京中轴线申遗保护为契机，努力推动老城整体保护与复兴。</w:t>
      </w:r>
      <w:r>
        <w:rPr>
          <w:rFonts w:hint="eastAsia" w:ascii="仿宋_GB2312" w:hAnsi="仿宋_GB2312" w:cs="仿宋_GB2312"/>
          <w:color w:val="000000"/>
          <w:szCs w:val="32"/>
        </w:rPr>
        <w:t>开展老城核心遗产价值研究，建立动态管理机制。</w:t>
      </w:r>
      <w:r>
        <w:rPr>
          <w:rFonts w:hint="eastAsia" w:ascii="仿宋_GB2312" w:hAnsi="仿宋_GB2312" w:cs="仿宋_GB2312"/>
          <w:szCs w:val="32"/>
        </w:rPr>
        <w:t>实施一批重点文物保护修缮工程，编制一批重点文物保护单位保护规划</w:t>
      </w:r>
      <w:r>
        <w:rPr>
          <w:rFonts w:hint="eastAsia" w:ascii="仿宋_GB2312" w:hAnsi="仿宋_GB2312" w:cs="仿宋_GB2312"/>
          <w:color w:val="000000"/>
          <w:szCs w:val="32"/>
        </w:rPr>
        <w:t>。配合基建工程开展传统平房区地下文物考古工作，加强老城地下建设项目管理。推进重点文物腾退和周边环境整治，探索文物腾退保护利用政策。</w:t>
      </w:r>
      <w:r>
        <w:rPr>
          <w:rFonts w:hint="eastAsia" w:ascii="仿宋_GB2312" w:hAnsi="仿宋_GB2312" w:cs="仿宋_GB2312"/>
          <w:szCs w:val="32"/>
        </w:rPr>
        <w:t>创新文物开放模式，提升开放比例</w:t>
      </w:r>
      <w:r>
        <w:rPr>
          <w:rFonts w:hint="eastAsia" w:ascii="仿宋_GB2312" w:hAnsi="仿宋_GB2312" w:cs="仿宋_GB2312"/>
          <w:color w:val="000000"/>
          <w:szCs w:val="32"/>
        </w:rPr>
        <w:t>，实现皇史宬、国立蒙藏学校旧址、宁郡王府、贤良祠、杨椒山祠、歙县会馆等一批活化利用项目落地</w:t>
      </w:r>
      <w:r>
        <w:rPr>
          <w:rFonts w:hint="eastAsia" w:ascii="仿宋_GB2312" w:hAnsi="仿宋_GB2312" w:cs="仿宋_GB2312"/>
          <w:szCs w:val="32"/>
        </w:rPr>
        <w:t>。加强老城重点地区和重点功能区的文物资源发掘利用，合理利用博物馆和会馆、名人故居、传统四合院等特色文物建筑，塑造一批“城市会客厅”。加强历史城廓的保护与文化展示，以二环路文化景观环线建设为契机，营造德胜门箭楼整体景观。开展西板桥明渠北段（北海</w:t>
      </w:r>
      <w:r>
        <w:rPr>
          <w:rFonts w:hint="eastAsia" w:ascii="仿宋_GB2312"/>
          <w:szCs w:val="32"/>
        </w:rPr>
        <w:t>濠濮间</w:t>
      </w:r>
      <w:r>
        <w:rPr>
          <w:rFonts w:hint="eastAsia" w:ascii="仿宋_GB2312"/>
          <w:szCs w:val="32"/>
          <w:lang w:eastAsia="zh-CN"/>
        </w:rPr>
        <w:t>—</w:t>
      </w:r>
      <w:r>
        <w:rPr>
          <w:rFonts w:hint="eastAsia" w:ascii="仿宋_GB2312" w:hAnsi="仿宋_GB2312" w:cs="仿宋_GB2312"/>
          <w:szCs w:val="32"/>
        </w:rPr>
        <w:t>景山公园西门）历史水系恢复和展示利用专题研究。</w:t>
      </w:r>
      <w:bookmarkStart w:id="61" w:name="_Toc43846308"/>
      <w:bookmarkEnd w:id="61"/>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8" w:type="dxa"/>
            <w:tcBorders>
              <w:top w:val="single" w:color="auto" w:sz="4" w:space="0"/>
              <w:left w:val="single" w:color="auto" w:sz="4" w:space="0"/>
              <w:bottom w:val="single" w:color="auto" w:sz="4" w:space="0"/>
              <w:right w:val="single" w:color="auto" w:sz="4" w:space="0"/>
            </w:tcBorders>
          </w:tcPr>
          <w:p>
            <w:pPr>
              <w:autoSpaceDE w:val="0"/>
              <w:spacing w:line="520" w:lineRule="exact"/>
              <w:ind w:firstLine="0" w:firstLineChars="0"/>
              <w:jc w:val="center"/>
              <w:rPr>
                <w:rFonts w:ascii="黑体" w:hAnsi="黑体" w:eastAsia="黑体" w:cs="Calibri"/>
                <w:sz w:val="28"/>
                <w:szCs w:val="28"/>
              </w:rPr>
            </w:pPr>
            <w:r>
              <w:rPr>
                <w:rFonts w:hint="eastAsia" w:ascii="黑体" w:hAnsi="黑体" w:eastAsia="黑体" w:cs="Calibri"/>
                <w:sz w:val="28"/>
                <w:szCs w:val="28"/>
              </w:rPr>
              <w:t>专栏一：中轴线申遗和老城整体保护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8" w:type="dxa"/>
            <w:tcBorders>
              <w:top w:val="single" w:color="auto" w:sz="4" w:space="0"/>
              <w:left w:val="single" w:color="auto" w:sz="4" w:space="0"/>
              <w:bottom w:val="single" w:color="auto" w:sz="4" w:space="0"/>
              <w:right w:val="single" w:color="auto" w:sz="4" w:space="0"/>
            </w:tcBorders>
          </w:tcPr>
          <w:p>
            <w:pPr>
              <w:autoSpaceDE w:val="0"/>
              <w:spacing w:line="520" w:lineRule="exact"/>
              <w:ind w:firstLine="560"/>
              <w:rPr>
                <w:rFonts w:ascii="仿宋_GB2312" w:hAnsi="仿宋_GB2312" w:cs="仿宋_GB2312"/>
                <w:color w:val="000000"/>
                <w:sz w:val="28"/>
                <w:szCs w:val="28"/>
              </w:rPr>
            </w:pPr>
            <w:r>
              <w:rPr>
                <w:rFonts w:hint="eastAsia" w:ascii="楷体_GB2312" w:hAnsi="楷体" w:eastAsia="楷体_GB2312" w:cs="Calibri"/>
                <w:color w:val="000000"/>
                <w:sz w:val="28"/>
                <w:szCs w:val="28"/>
              </w:rPr>
              <w:t>1.万宁桥</w:t>
            </w:r>
            <w:r>
              <w:rPr>
                <w:rFonts w:hint="eastAsia" w:ascii="楷体_GB2312" w:hAnsi="楷体" w:eastAsia="楷体_GB2312" w:cs="Calibri"/>
                <w:sz w:val="28"/>
                <w:szCs w:val="28"/>
              </w:rPr>
              <w:t>修缮及环境</w:t>
            </w:r>
            <w:r>
              <w:rPr>
                <w:rFonts w:hint="eastAsia" w:ascii="楷体_GB2312" w:hAnsi="楷体" w:eastAsia="楷体_GB2312" w:cs="Calibri"/>
                <w:color w:val="000000"/>
                <w:sz w:val="28"/>
                <w:szCs w:val="28"/>
              </w:rPr>
              <w:t>综合整治。</w:t>
            </w:r>
            <w:r>
              <w:rPr>
                <w:rFonts w:hint="eastAsia" w:ascii="仿宋_GB2312" w:hAnsi="仿宋_GB2312" w:cs="仿宋_GB2312"/>
                <w:color w:val="000000"/>
                <w:sz w:val="28"/>
                <w:szCs w:val="28"/>
              </w:rPr>
              <w:t>开展万宁桥结构安全日常监测，完成桥体及附属文物修缮工程，弱化万宁桥机动车交通功能，优化万宁桥东、西两侧滨水步行环境及绿化景观，围绕万宁桥形成连续完整、便捷可达的文化展示空间。</w:t>
            </w:r>
          </w:p>
          <w:p>
            <w:pPr>
              <w:autoSpaceDE w:val="0"/>
              <w:spacing w:line="520" w:lineRule="exact"/>
              <w:ind w:firstLine="560"/>
              <w:rPr>
                <w:rFonts w:ascii="楷体_GB2312" w:hAnsi="楷体" w:eastAsia="楷体_GB2312" w:cs="Calibri"/>
                <w:color w:val="000000"/>
                <w:sz w:val="28"/>
                <w:szCs w:val="28"/>
              </w:rPr>
            </w:pPr>
            <w:r>
              <w:rPr>
                <w:rFonts w:hint="eastAsia" w:ascii="楷体_GB2312" w:hAnsi="楷体" w:eastAsia="楷体_GB2312" w:cs="Calibri"/>
                <w:color w:val="000000"/>
                <w:sz w:val="28"/>
                <w:szCs w:val="28"/>
              </w:rPr>
              <w:t>2.正阳门城楼修缮展示。</w:t>
            </w:r>
            <w:r>
              <w:rPr>
                <w:rFonts w:hint="eastAsia" w:ascii="仿宋_GB2312" w:hAnsi="仿宋_GB2312" w:cs="仿宋_GB2312"/>
                <w:color w:val="000000"/>
                <w:sz w:val="28"/>
                <w:szCs w:val="28"/>
              </w:rPr>
              <w:t>改善正阳门城楼和箭楼周边绿化，恢复历史环境风貌；保护正阳门瓮城基址，实施城墙遗址考古；规划腾退现有城楼和箭楼内办公用房，提升展示空间，使文物本体与周边环境、文化生态整体统一协调。</w:t>
            </w:r>
          </w:p>
          <w:p>
            <w:pPr>
              <w:autoSpaceDE w:val="0"/>
              <w:spacing w:line="520" w:lineRule="exact"/>
              <w:ind w:firstLine="560"/>
              <w:rPr>
                <w:rFonts w:ascii="仿宋_GB2312" w:hAnsi="仿宋_GB2312" w:cs="仿宋_GB2312"/>
                <w:color w:val="000000"/>
                <w:sz w:val="28"/>
                <w:szCs w:val="28"/>
              </w:rPr>
            </w:pPr>
            <w:r>
              <w:rPr>
                <w:rFonts w:hint="eastAsia" w:ascii="楷体_GB2312" w:hAnsi="楷体" w:eastAsia="楷体_GB2312" w:cs="Calibri"/>
                <w:color w:val="000000"/>
                <w:sz w:val="28"/>
                <w:szCs w:val="28"/>
              </w:rPr>
              <w:t>3.先农坛腾退利用。</w:t>
            </w:r>
            <w:r>
              <w:rPr>
                <w:rFonts w:hint="eastAsia" w:ascii="仿宋_GB2312" w:hAnsi="仿宋_GB2312" w:cs="仿宋_GB2312"/>
                <w:color w:val="000000"/>
                <w:sz w:val="28"/>
                <w:szCs w:val="28"/>
              </w:rPr>
              <w:t>腾退、拆除先农坛内坛和外坛文物遗址内的非文物建筑，打通历史祭祀线路，恢复先农坛历史风貌，展示中华农耕文化和先农坛历史文化，打造</w:t>
            </w:r>
            <w:r>
              <w:rPr>
                <w:rFonts w:hint="eastAsia" w:ascii="楷体_GB2312" w:hAnsi="楷体" w:eastAsia="楷体_GB2312" w:cs="Calibri"/>
                <w:color w:val="000000"/>
                <w:sz w:val="28"/>
                <w:szCs w:val="28"/>
              </w:rPr>
              <w:t>集</w:t>
            </w:r>
            <w:r>
              <w:rPr>
                <w:rFonts w:hint="eastAsia" w:ascii="仿宋_GB2312" w:hAnsi="仿宋_GB2312" w:cs="仿宋_GB2312"/>
                <w:color w:val="000000"/>
                <w:sz w:val="28"/>
                <w:szCs w:val="28"/>
              </w:rPr>
              <w:t>文化展示、农耕体</w:t>
            </w:r>
            <w:r>
              <w:rPr>
                <w:rFonts w:hint="eastAsia" w:ascii="仿宋_GB2312" w:hAnsi="仿宋_GB2312" w:cs="仿宋_GB2312"/>
                <w:sz w:val="28"/>
                <w:szCs w:val="28"/>
              </w:rPr>
              <w:t>验、体育</w:t>
            </w:r>
            <w:r>
              <w:rPr>
                <w:rFonts w:hint="eastAsia" w:ascii="仿宋_GB2312" w:hAnsi="仿宋_GB2312" w:cs="仿宋_GB2312"/>
                <w:sz w:val="28"/>
                <w:szCs w:val="28"/>
                <w:lang w:eastAsia="zh-CN"/>
              </w:rPr>
              <w:t>锻炼</w:t>
            </w:r>
            <w:r>
              <w:rPr>
                <w:rFonts w:hint="eastAsia" w:ascii="仿宋_GB2312" w:hAnsi="仿宋_GB2312" w:cs="仿宋_GB2312"/>
                <w:color w:val="000000"/>
                <w:sz w:val="28"/>
                <w:szCs w:val="28"/>
              </w:rPr>
              <w:t>、旅游休闲于一体的先农坛博物馆。</w:t>
            </w:r>
          </w:p>
          <w:p>
            <w:pPr>
              <w:autoSpaceDE w:val="0"/>
              <w:spacing w:line="520" w:lineRule="exact"/>
              <w:ind w:firstLine="560"/>
              <w:rPr>
                <w:rFonts w:ascii="仿宋_GB2312" w:hAnsi="仿宋_GB2312" w:cs="仿宋_GB2312"/>
                <w:color w:val="000000"/>
                <w:sz w:val="28"/>
                <w:szCs w:val="28"/>
              </w:rPr>
            </w:pPr>
            <w:r>
              <w:rPr>
                <w:rFonts w:hint="eastAsia" w:ascii="楷体_GB2312" w:hAnsi="楷体" w:eastAsia="楷体_GB2312" w:cs="Calibri"/>
                <w:color w:val="000000"/>
                <w:sz w:val="28"/>
                <w:szCs w:val="28"/>
              </w:rPr>
              <w:t>4.国立蒙藏学校旧址活化利用。</w:t>
            </w:r>
            <w:r>
              <w:rPr>
                <w:rFonts w:hint="eastAsia" w:ascii="仿宋_GB2312" w:hAnsi="仿宋_GB2312" w:cs="仿宋_GB2312"/>
                <w:color w:val="000000"/>
                <w:sz w:val="28"/>
                <w:szCs w:val="28"/>
              </w:rPr>
              <w:t>编制国立蒙藏学校旧址保护规划，开展国立蒙藏学校旧址整体保护修缮及环境整治工程，打造落实首都功能核心区规划的示范项目。</w:t>
            </w:r>
          </w:p>
          <w:p>
            <w:pPr>
              <w:spacing w:line="520" w:lineRule="exact"/>
              <w:ind w:firstLine="560"/>
              <w:rPr>
                <w:rFonts w:ascii="仿宋_GB2312" w:hAnsi="仿宋_GB2312" w:cs="仿宋_GB2312"/>
                <w:color w:val="000000"/>
                <w:sz w:val="28"/>
                <w:szCs w:val="28"/>
              </w:rPr>
            </w:pPr>
            <w:r>
              <w:rPr>
                <w:rFonts w:hint="eastAsia" w:ascii="楷体_GB2312" w:hAnsi="楷体" w:eastAsia="楷体_GB2312" w:cs="Calibri"/>
                <w:color w:val="000000"/>
                <w:sz w:val="28"/>
                <w:szCs w:val="28"/>
              </w:rPr>
              <w:t>5.中轴线遗产监测保护平台。</w:t>
            </w:r>
            <w:r>
              <w:rPr>
                <w:rFonts w:hint="eastAsia" w:ascii="仿宋_GB2312" w:hAnsi="仿宋_GB2312" w:cs="仿宋_GB2312"/>
                <w:color w:val="000000"/>
                <w:sz w:val="28"/>
                <w:szCs w:val="28"/>
              </w:rPr>
              <w:t>围绕总体格局、遗产本体、遗产风貌、自然环境、交通压力、社会发展、安防消防、管理制度等八个方面监测内容，统筹中轴线</w:t>
            </w:r>
            <w:r>
              <w:rPr>
                <w:rFonts w:hint="eastAsia" w:ascii="仿宋_GB2312" w:hAnsi="仿宋_GB2312" w:cs="仿宋_GB2312"/>
                <w:sz w:val="28"/>
                <w:szCs w:val="28"/>
              </w:rPr>
              <w:t>遗产构成要素及</w:t>
            </w:r>
            <w:r>
              <w:rPr>
                <w:rFonts w:hint="eastAsia" w:ascii="仿宋_GB2312" w:hAnsi="仿宋_GB2312" w:cs="仿宋_GB2312"/>
                <w:sz w:val="28"/>
                <w:szCs w:val="28"/>
                <w:lang w:eastAsia="zh-CN"/>
              </w:rPr>
              <w:t>连</w:t>
            </w:r>
            <w:r>
              <w:rPr>
                <w:rFonts w:hint="eastAsia" w:ascii="仿宋_GB2312" w:hAnsi="仿宋_GB2312" w:cs="仿宋_GB2312"/>
                <w:color w:val="000000"/>
                <w:sz w:val="28"/>
                <w:szCs w:val="28"/>
              </w:rPr>
              <w:t>接街区、道路等要素的监测工作，运用新型信息化技术，建设中轴线遗产监测与保护总平台及分系统，集成运营5G、物联网、大数据等技术方法，构建一套文化遗产动态感知、状态分析、问题研判、智能预警和保护整治的全健康周期监测体系，着力打造世界文化遗产监测保护平台的“新坐标”。</w:t>
            </w:r>
          </w:p>
          <w:p>
            <w:pPr>
              <w:spacing w:line="520" w:lineRule="exact"/>
              <w:ind w:firstLine="560"/>
              <w:rPr>
                <w:rFonts w:ascii="仿宋_GB2312" w:hAnsi="仿宋_GB2312" w:cs="仿宋_GB2312"/>
                <w:spacing w:val="-4"/>
                <w:sz w:val="28"/>
                <w:szCs w:val="28"/>
              </w:rPr>
            </w:pPr>
            <w:r>
              <w:rPr>
                <w:rFonts w:hint="eastAsia" w:ascii="楷体_GB2312" w:hAnsi="楷体" w:eastAsia="楷体_GB2312" w:cs="Calibri"/>
                <w:color w:val="000000"/>
                <w:sz w:val="28"/>
                <w:szCs w:val="28"/>
              </w:rPr>
              <w:t>6.</w:t>
            </w:r>
            <w:r>
              <w:rPr>
                <w:rFonts w:hint="eastAsia" w:ascii="楷体_GB2312" w:hAnsi="楷体" w:eastAsia="楷体_GB2312" w:cs="Calibri"/>
                <w:sz w:val="28"/>
                <w:szCs w:val="28"/>
              </w:rPr>
              <w:t>“城市会客厅”计划。</w:t>
            </w:r>
            <w:r>
              <w:rPr>
                <w:rFonts w:hint="eastAsia" w:ascii="仿宋_GB2312" w:hAnsi="仿宋_GB2312" w:cs="仿宋_GB2312"/>
                <w:spacing w:val="-4"/>
                <w:sz w:val="28"/>
                <w:szCs w:val="28"/>
              </w:rPr>
              <w:t>梳理盘点以世界文化遗产、重点博物馆和特色文物建筑为主的外事资源，推荐纳入重大国事活动标准化资源库，研究制定涉外文博单位外事接待工作标准，完善提升软硬件设施，丰富国际交往活动内容供给。</w:t>
            </w:r>
          </w:p>
        </w:tc>
      </w:tr>
    </w:tbl>
    <w:p>
      <w:pPr>
        <w:ind w:firstLine="640"/>
      </w:pPr>
      <w:bookmarkStart w:id="62" w:name="_Toc76742854"/>
      <w:bookmarkEnd w:id="62"/>
      <w:bookmarkStart w:id="63" w:name="_Toc519820098_WPSOffice_Level2"/>
      <w:bookmarkStart w:id="64" w:name="_Toc58074361"/>
      <w:bookmarkStart w:id="65" w:name="_Toc58074359"/>
      <w:bookmarkStart w:id="66" w:name="_Toc1789418812_WPSOffice_Level2"/>
    </w:p>
    <w:p>
      <w:pPr>
        <w:pStyle w:val="6"/>
        <w:ind w:firstLine="643"/>
      </w:pPr>
      <w:bookmarkStart w:id="67" w:name="_Toc354389263_WPSOffice_Level2"/>
      <w:r>
        <w:rPr>
          <w:rFonts w:hint="eastAsia"/>
        </w:rPr>
        <w:t>（二）</w:t>
      </w:r>
      <w:bookmarkStart w:id="68" w:name="_Hlk81669768"/>
      <w:r>
        <w:rPr>
          <w:rFonts w:hint="eastAsia"/>
        </w:rPr>
        <w:t>推动博物馆之城建设呈现新气象</w:t>
      </w:r>
      <w:bookmarkEnd w:id="67"/>
      <w:bookmarkEnd w:id="68"/>
    </w:p>
    <w:bookmarkEnd w:id="63"/>
    <w:bookmarkEnd w:id="64"/>
    <w:p>
      <w:pPr>
        <w:pStyle w:val="7"/>
        <w:ind w:firstLine="643"/>
        <w:rPr>
          <w:szCs w:val="32"/>
        </w:rPr>
      </w:pPr>
      <w:bookmarkStart w:id="69" w:name="_Toc43846317"/>
      <w:bookmarkEnd w:id="69"/>
      <w:r>
        <w:rPr>
          <w:rFonts w:hint="eastAsia"/>
          <w:szCs w:val="32"/>
        </w:rPr>
        <w:t>4.博物馆体系布局更加合理</w:t>
      </w:r>
    </w:p>
    <w:p>
      <w:pPr>
        <w:ind w:firstLine="640"/>
        <w:rPr>
          <w:rFonts w:ascii="仿宋_GB2312" w:hAnsi="仿宋_GB2312" w:cs="仿宋_GB2312"/>
          <w:strike/>
          <w:szCs w:val="32"/>
        </w:rPr>
      </w:pPr>
      <w:r>
        <w:rPr>
          <w:rFonts w:hint="eastAsia" w:ascii="仿宋_GB2312" w:hAnsi="仿宋_GB2312" w:cs="仿宋_GB2312"/>
          <w:szCs w:val="32"/>
        </w:rPr>
        <w:t>优化全市博物馆布局，统筹不同层级、不同属性、不同类型博物馆协调发展，</w:t>
      </w:r>
      <w:r>
        <w:rPr>
          <w:rFonts w:hint="eastAsia" w:ascii="仿宋_GB2312" w:hAnsi="仿宋_GB2312" w:cs="仿宋_GB2312"/>
          <w:color w:val="000000"/>
          <w:szCs w:val="32"/>
        </w:rPr>
        <w:t>构建均等化、普惠化、便捷化的现代博物馆服务体系</w:t>
      </w:r>
      <w:r>
        <w:rPr>
          <w:rFonts w:hint="eastAsia" w:ascii="仿宋_GB2312" w:hAnsi="仿宋_GB2312" w:cs="仿宋_GB2312"/>
          <w:szCs w:val="32"/>
        </w:rPr>
        <w:t>。高水平完成大运河博物馆（首都博物馆东馆）建设，满足城市副中心功能需要；支持故宫博物院北院、国家自然博物馆等国家级博物馆建设，完善北部和南中轴地区公共文化设施；统筹用好现有场馆资源，积极推进各区博物馆设施和文物保护展示综合体建设。制定实施《北京市鼓励社会力量兴办博物馆的若干意见》，推进社会力量兴办博物馆，推动非国有博物馆高质量、差异化发展。鼓励各方力量发挥各自优势，依托文物遗址、历史建筑、工业遗产、农业遗产、文化景观和非物质文化遗产等设立博物馆。丰富自然科学、现当代艺术等博物馆品类，倡导社区、生态、科技等新型博物馆建设。将乡情村史馆等具有博物馆功能但尚不符合博物馆备案要求的类博物馆纳入行业指导范畴。支持博物馆集群，重点支持朝阳、东城、西城等区和三山五园国家文物保护利用示范区建设博物馆集聚区。实现“十四五”末期每10万人拥有1.2家博物馆，博物馆数量超过2</w:t>
      </w:r>
      <w:r>
        <w:rPr>
          <w:rFonts w:ascii="仿宋_GB2312" w:hAnsi="仿宋_GB2312" w:cs="仿宋_GB2312"/>
          <w:szCs w:val="32"/>
        </w:rPr>
        <w:t>60</w:t>
      </w:r>
      <w:r>
        <w:rPr>
          <w:rFonts w:hint="eastAsia" w:ascii="仿宋_GB2312" w:hAnsi="仿宋_GB2312" w:cs="仿宋_GB2312"/>
          <w:szCs w:val="32"/>
        </w:rPr>
        <w:t>家。</w:t>
      </w:r>
    </w:p>
    <w:p>
      <w:pPr>
        <w:ind w:firstLine="640"/>
        <w:rPr>
          <w:rFonts w:ascii="仿宋_GB2312" w:hAnsi="仿宋_GB2312" w:cs="仿宋_GB2312"/>
          <w:szCs w:val="32"/>
        </w:rPr>
      </w:pPr>
      <w:r>
        <w:rPr>
          <w:rFonts w:hint="eastAsia" w:ascii="仿宋_GB2312" w:hAnsi="仿宋_GB2312" w:cs="仿宋_GB2312"/>
          <w:szCs w:val="32"/>
        </w:rPr>
        <w:t xml:space="preserve"> </w:t>
      </w:r>
    </w:p>
    <w:p>
      <w:pPr>
        <w:pStyle w:val="7"/>
        <w:ind w:firstLine="643"/>
      </w:pPr>
      <w:bookmarkStart w:id="70" w:name="_Toc43846318"/>
      <w:bookmarkEnd w:id="70"/>
      <w:r>
        <w:rPr>
          <w:rFonts w:hint="eastAsia"/>
        </w:rPr>
        <w:t>5.博物馆体制机制更加完善</w:t>
      </w:r>
    </w:p>
    <w:p>
      <w:pPr>
        <w:ind w:firstLine="640"/>
        <w:rPr>
          <w:rFonts w:ascii="仿宋_GB2312" w:hAnsi="仿宋_GB2312" w:cs="仿宋_GB2312"/>
          <w:szCs w:val="32"/>
        </w:rPr>
      </w:pPr>
      <w:r>
        <w:rPr>
          <w:rFonts w:hint="eastAsia" w:ascii="仿宋_GB2312" w:hAnsi="仿宋_GB2312" w:cs="仿宋_GB2312"/>
          <w:szCs w:val="32"/>
        </w:rPr>
        <w:t>完善博物馆管理制度，推进博物馆治理体系和治理能力现代化。加强顶层设计，完善和国家文物局的部市合作机制，落实北京“博物馆之城”建设战略合作协议，出台北京博物馆之城建设发展规划，成立北京博物馆之城研究中心。进一步健全激励约束机制，探索建立博物馆运行评估和社会评价机制，完善博物馆科研成果评价制度，激发博物馆活力。探索开展国有博物馆资产所有权、藏品归属权、开放运营权分置改革试点。推动博物馆公共服务市场化改革，引入竞争机制，鼓励社会力量参与展览、教育和文创产品开发。加强和学术机构合作，</w:t>
      </w:r>
      <w:r>
        <w:rPr>
          <w:rFonts w:hint="eastAsia" w:ascii="仿宋_GB2312" w:hAnsi="仿宋_GB2312" w:cs="仿宋_GB2312"/>
          <w:kern w:val="0"/>
          <w:szCs w:val="32"/>
        </w:rPr>
        <w:t>推动研究型博物馆建设</w:t>
      </w:r>
      <w:r>
        <w:rPr>
          <w:rFonts w:hint="eastAsia" w:ascii="仿宋_GB2312" w:hAnsi="仿宋_GB2312" w:cs="仿宋_GB2312"/>
          <w:color w:val="000000"/>
          <w:szCs w:val="32"/>
        </w:rPr>
        <w:t>。</w:t>
      </w:r>
      <w:r>
        <w:rPr>
          <w:rFonts w:hint="eastAsia" w:ascii="仿宋_GB2312" w:hAnsi="仿宋_GB2312" w:cs="仿宋_GB2312"/>
          <w:kern w:val="0"/>
          <w:szCs w:val="32"/>
        </w:rPr>
        <w:t>强化科技支撑，</w:t>
      </w:r>
      <w:r>
        <w:rPr>
          <w:rFonts w:hint="eastAsia" w:ascii="仿宋_GB2312" w:hAnsi="仿宋_GB2312" w:cs="仿宋_GB2312"/>
          <w:color w:val="000000"/>
          <w:szCs w:val="32"/>
        </w:rPr>
        <w:t>建设北京市博物馆大数据平台二期，实现博物馆业务工作的数字化实效管理。深入</w:t>
      </w:r>
      <w:r>
        <w:rPr>
          <w:rFonts w:hint="eastAsia" w:ascii="仿宋_GB2312" w:hAnsi="仿宋_GB2312" w:cs="仿宋_GB2312"/>
          <w:szCs w:val="32"/>
        </w:rPr>
        <w:t>落实《京津冀博物馆协同创新发展合作协议》，促进京津冀地区博物馆资源整合与协同创新。支持、引导博物馆开展“博物馆+”项目，促进博物馆与教育、科技、旅游、商业、传媒、设计等跨界融合。</w:t>
      </w:r>
    </w:p>
    <w:p>
      <w:pPr>
        <w:ind w:firstLine="640"/>
        <w:rPr>
          <w:rFonts w:ascii="仿宋_GB2312" w:hAnsi="仿宋_GB2312" w:cs="仿宋_GB2312"/>
          <w:szCs w:val="32"/>
        </w:rPr>
      </w:pPr>
    </w:p>
    <w:p>
      <w:pPr>
        <w:pStyle w:val="7"/>
        <w:ind w:firstLine="643"/>
      </w:pPr>
      <w:bookmarkStart w:id="71" w:name="_Toc43846319"/>
      <w:bookmarkEnd w:id="71"/>
      <w:r>
        <w:rPr>
          <w:rFonts w:hint="eastAsia"/>
        </w:rPr>
        <w:t>6.博物馆服务效能更加彰显</w:t>
      </w:r>
    </w:p>
    <w:p>
      <w:pPr>
        <w:ind w:firstLine="640"/>
        <w:rPr>
          <w:rFonts w:ascii="仿宋_GB2312" w:hAnsi="仿宋_GB2312" w:cs="仿宋_GB2312"/>
          <w:szCs w:val="32"/>
        </w:rPr>
      </w:pPr>
      <w:r>
        <w:rPr>
          <w:rFonts w:hint="eastAsia" w:ascii="仿宋_GB2312" w:hAnsi="仿宋_GB2312" w:cs="仿宋_GB2312"/>
          <w:szCs w:val="32"/>
        </w:rPr>
        <w:t>提高博物馆公共文化服务的供给能力，按照均等化原则，细化基本公共文化服务标准；根据不同社群的多元化需求，探索差异化的非基本公共服务内容。立足市属博物馆，推进“一馆一品”博物馆品牌建设。提高展陈质量，组织开展“首都精品文物展览季”活动。利</w:t>
      </w:r>
      <w:r>
        <w:rPr>
          <w:rFonts w:hint="eastAsia" w:ascii="仿宋_GB2312" w:hAnsi="仿宋_GB2312" w:cs="仿宋_GB2312"/>
          <w:color w:val="000000"/>
          <w:szCs w:val="32"/>
        </w:rPr>
        <w:t>用春节、端午、中秋等中华传统节日及</w:t>
      </w:r>
      <w:r>
        <w:rPr>
          <w:rFonts w:hint="eastAsia" w:ascii="仿宋_GB2312" w:hAnsi="仿宋_GB2312" w:cs="仿宋_GB2312"/>
          <w:color w:val="000000"/>
          <w:szCs w:val="32"/>
          <w:lang w:eastAsia="zh-CN"/>
        </w:rPr>
        <w:t>“</w:t>
      </w:r>
      <w:r>
        <w:rPr>
          <w:rFonts w:hint="eastAsia" w:ascii="仿宋_GB2312" w:hAnsi="仿宋_GB2312" w:cs="仿宋_GB2312"/>
          <w:color w:val="000000"/>
          <w:szCs w:val="32"/>
        </w:rPr>
        <w:t>5</w:t>
      </w:r>
      <w:r>
        <w:rPr>
          <w:rFonts w:ascii="仿宋_GB2312" w:hAnsi="仿宋_GB2312" w:cs="仿宋_GB2312"/>
          <w:color w:val="000000"/>
          <w:szCs w:val="32"/>
        </w:rPr>
        <w:t>.18</w:t>
      </w:r>
      <w:r>
        <w:rPr>
          <w:rFonts w:hint="eastAsia" w:ascii="仿宋_GB2312" w:hAnsi="仿宋_GB2312" w:cs="仿宋_GB2312"/>
          <w:color w:val="000000"/>
          <w:szCs w:val="32"/>
          <w:lang w:eastAsia="zh-CN"/>
        </w:rPr>
        <w:t>”</w:t>
      </w:r>
      <w:r>
        <w:rPr>
          <w:rFonts w:hint="eastAsia" w:ascii="仿宋_GB2312" w:hAnsi="仿宋_GB2312" w:cs="仿宋_GB2312"/>
          <w:color w:val="000000"/>
          <w:szCs w:val="32"/>
        </w:rPr>
        <w:t>国际博物馆日等节庆活动，开展各类主题文化活动，凝聚民族情感，厚植家国情怀。鼓励</w:t>
      </w:r>
      <w:r>
        <w:rPr>
          <w:rFonts w:hint="eastAsia" w:ascii="仿宋_GB2312" w:hAnsi="仿宋_GB2312" w:cs="仿宋_GB2312"/>
          <w:kern w:val="0"/>
          <w:szCs w:val="32"/>
        </w:rPr>
        <w:t>有条件的博物馆延时开放，推动博物馆实体展览、虚拟展览进入城市公共空间，融入市民生活和首都经济社会发展。</w:t>
      </w:r>
      <w:r>
        <w:rPr>
          <w:rFonts w:hint="eastAsia" w:ascii="仿宋_GB2312" w:hAnsi="仿宋_GB2312" w:cs="仿宋_GB2312"/>
          <w:szCs w:val="32"/>
        </w:rPr>
        <w:t>发展智慧博物馆，指导博物馆智慧管理、智慧服务。支持博物馆利用数字信息技术开展“云展览”和网络直播，强化线上文化服务供给能力。</w:t>
      </w:r>
      <w:r>
        <w:rPr>
          <w:rFonts w:hint="eastAsia" w:ascii="仿宋_GB2312" w:hAnsi="仿宋_GB2312" w:cs="仿宋_GB2312"/>
          <w:color w:val="000000"/>
          <w:szCs w:val="32"/>
        </w:rPr>
        <w:t>促进博物馆资源融入教育体系，推动博物馆</w:t>
      </w:r>
      <w:r>
        <w:rPr>
          <w:rFonts w:hint="eastAsia" w:ascii="仿宋_GB2312" w:hAnsi="仿宋_GB2312" w:cs="仿宋_GB2312"/>
          <w:szCs w:val="32"/>
        </w:rPr>
        <w:t>与课程教学、</w:t>
      </w:r>
      <w:r>
        <w:rPr>
          <w:rFonts w:hint="eastAsia" w:ascii="仿宋_GB2312" w:hAnsi="仿宋_GB2312" w:cs="仿宋_GB2312"/>
          <w:color w:val="000000"/>
          <w:szCs w:val="32"/>
        </w:rPr>
        <w:t>综合实践有机结合，加强师资联合培养，强化优秀项目示范引领，提升中小学生博物馆学习效果。</w:t>
      </w:r>
    </w:p>
    <w:p>
      <w:pPr>
        <w:ind w:firstLine="800" w:firstLineChars="250"/>
        <w:rPr>
          <w:rFonts w:ascii="仿宋_GB2312" w:hAnsi="仿宋_GB2312" w:cs="仿宋_GB2312"/>
          <w:szCs w:val="32"/>
        </w:rPr>
      </w:pPr>
      <w:r>
        <w:rPr>
          <w:rFonts w:hint="eastAsia" w:ascii="仿宋_GB2312" w:hAnsi="仿宋_GB2312" w:cs="仿宋_GB2312"/>
          <w:szCs w:val="32"/>
        </w:rPr>
        <w:t xml:space="preserve"> </w:t>
      </w:r>
    </w:p>
    <w:p>
      <w:pPr>
        <w:pStyle w:val="7"/>
        <w:ind w:firstLine="643"/>
      </w:pPr>
      <w:bookmarkStart w:id="72" w:name="_Toc43846320"/>
      <w:bookmarkEnd w:id="72"/>
      <w:r>
        <w:rPr>
          <w:rFonts w:hint="eastAsia"/>
        </w:rPr>
        <w:t>7.博物馆藏品管理更加科学</w:t>
      </w:r>
    </w:p>
    <w:p>
      <w:pPr>
        <w:ind w:firstLine="640"/>
        <w:rPr>
          <w:rFonts w:ascii="仿宋_GB2312" w:hAnsi="仿宋_GB2312" w:cs="仿宋_GB2312"/>
          <w:color w:val="000000"/>
          <w:szCs w:val="32"/>
        </w:rPr>
      </w:pPr>
      <w:r>
        <w:rPr>
          <w:rFonts w:hint="eastAsia" w:ascii="仿宋_GB2312" w:hAnsi="仿宋_GB2312" w:cs="仿宋_GB2312"/>
          <w:szCs w:val="32"/>
        </w:rPr>
        <w:t>健全博物馆藏品登录机制，稳步推动馆藏文物信息资源公开共享。</w:t>
      </w:r>
      <w:r>
        <w:rPr>
          <w:rFonts w:hint="eastAsia" w:ascii="仿宋_GB2312" w:hAnsi="仿宋_GB2312" w:cs="仿宋_GB2312"/>
          <w:color w:val="000000"/>
          <w:szCs w:val="32"/>
        </w:rPr>
        <w:t>优化征藏体系，</w:t>
      </w:r>
      <w:r>
        <w:rPr>
          <w:rFonts w:hint="eastAsia" w:ascii="仿宋_GB2312" w:hAnsi="仿宋_GB2312" w:cs="仿宋_GB2312"/>
          <w:szCs w:val="32"/>
        </w:rPr>
        <w:t>推进博物馆树立专业化收藏理念，强化党史、新中国史、改革开放史、社会主义发展史相关藏品征集，注重老城改造、城乡建设等反映经济社会发展变迁物证的征藏，丰富科技、现当代艺术、非物质文化遗产等专题收藏，鼓励反映世界多元文化的收藏新方向</w:t>
      </w:r>
      <w:r>
        <w:rPr>
          <w:rFonts w:hint="eastAsia" w:ascii="仿宋_GB2312" w:hAnsi="仿宋_GB2312" w:cs="仿宋_GB2312"/>
          <w:color w:val="000000"/>
          <w:szCs w:val="32"/>
        </w:rPr>
        <w:t>。</w:t>
      </w:r>
      <w:r>
        <w:rPr>
          <w:rFonts w:hint="eastAsia" w:ascii="仿宋_GB2312" w:hAnsi="仿宋_GB2312" w:cs="仿宋_GB2312"/>
          <w:szCs w:val="32"/>
        </w:rPr>
        <w:t>拓展藏品入藏渠道，</w:t>
      </w:r>
      <w:r>
        <w:rPr>
          <w:rFonts w:hint="eastAsia" w:ascii="仿宋_GB2312" w:hAnsi="仿宋_GB2312" w:cs="仿宋_GB2312"/>
          <w:color w:val="000000"/>
          <w:szCs w:val="32"/>
        </w:rPr>
        <w:t>鼓励社会捐赠。持续发挥博物馆大数据平台在全市博物馆藏品管理中的中枢作用，逐步完善可移动文物动态管理机制、非国有博物馆藏品备案工作流程、发掘和罚没文物移交机制。建立北京市馆藏可移动文物保护修复项目库，不断提升馆藏文物修复和预防性保护能力。</w:t>
      </w:r>
    </w:p>
    <w:p>
      <w:pPr>
        <w:ind w:firstLine="640"/>
        <w:rPr>
          <w:rFonts w:ascii="仿宋_GB2312" w:hAnsi="仿宋_GB2312" w:cs="仿宋_GB2312"/>
          <w:color w:val="000000"/>
          <w:szCs w:val="32"/>
        </w:rPr>
      </w:pPr>
    </w:p>
    <w:p>
      <w:pPr>
        <w:pStyle w:val="7"/>
        <w:ind w:firstLine="643"/>
        <w:rPr>
          <w:szCs w:val="32"/>
        </w:rPr>
      </w:pPr>
      <w:r>
        <w:rPr>
          <w:rFonts w:hint="eastAsia"/>
          <w:szCs w:val="32"/>
        </w:rPr>
        <w:t>8</w:t>
      </w:r>
      <w:r>
        <w:rPr>
          <w:szCs w:val="32"/>
        </w:rPr>
        <w:t>.</w:t>
      </w:r>
      <w:r>
        <w:rPr>
          <w:rFonts w:hint="eastAsia"/>
          <w:szCs w:val="32"/>
        </w:rPr>
        <w:t>文物文创产品开发更加活跃</w:t>
      </w:r>
    </w:p>
    <w:p>
      <w:pPr>
        <w:spacing w:after="312" w:afterLines="100"/>
        <w:ind w:firstLine="640"/>
        <w:rPr>
          <w:rFonts w:ascii="仿宋_GB2312" w:hAnsi="仿宋_GB2312" w:cs="仿宋_GB2312"/>
          <w:color w:val="000000"/>
          <w:szCs w:val="32"/>
        </w:rPr>
      </w:pPr>
      <w:r>
        <w:rPr>
          <w:rFonts w:hint="eastAsia" w:ascii="仿宋_GB2312" w:hAnsi="仿宋_GB2312" w:cs="仿宋_GB2312"/>
          <w:color w:val="000000"/>
          <w:szCs w:val="32"/>
        </w:rPr>
        <w:t>拓宽馆藏文物向文创产品、服务设计开发转化的路径，加</w:t>
      </w:r>
      <w:r>
        <w:rPr>
          <w:rFonts w:hint="eastAsia" w:ascii="仿宋_GB2312" w:hAnsi="仿宋_GB2312" w:cs="仿宋_GB2312"/>
          <w:szCs w:val="32"/>
        </w:rPr>
        <w:t>强</w:t>
      </w:r>
      <w:r>
        <w:rPr>
          <w:rFonts w:hint="eastAsia" w:ascii="仿宋_GB2312" w:hAnsi="仿宋_GB2312" w:cs="仿宋_GB2312"/>
          <w:color w:val="000000"/>
          <w:szCs w:val="32"/>
        </w:rPr>
        <w:t>博物馆馆藏资源版权保护与指导，稳妥推进体制机制创新，支持博物馆通过知识产权授权、入股等形式与各方力量</w:t>
      </w:r>
      <w:r>
        <w:rPr>
          <w:rFonts w:hint="eastAsia" w:ascii="仿宋_GB2312" w:hAnsi="仿宋_GB2312" w:cs="仿宋_GB2312"/>
          <w:color w:val="000000"/>
          <w:szCs w:val="32"/>
          <w:lang w:eastAsia="zh-CN"/>
        </w:rPr>
        <w:t>共同</w:t>
      </w:r>
      <w:r>
        <w:rPr>
          <w:rFonts w:hint="eastAsia" w:ascii="仿宋_GB2312" w:hAnsi="仿宋_GB2312" w:cs="仿宋_GB2312"/>
          <w:color w:val="000000"/>
          <w:szCs w:val="32"/>
        </w:rPr>
        <w:t>开展文创产品开发工作。通过加强与文创设计机构、高等院校等合作，设立文创产品开发专家库，发挥专家在文创产品开发中的把关作用。用好</w:t>
      </w:r>
      <w:r>
        <w:rPr>
          <w:rFonts w:hint="eastAsia" w:ascii="仿宋_GB2312" w:hAnsi="仿宋_GB2312" w:cs="仿宋_GB2312"/>
          <w:szCs w:val="32"/>
        </w:rPr>
        <w:t>市场机制，支持市级文化文物单位文创开发平台建设，完善北京文博衍生品创新孵化中心平台资源集聚和公共服务功能，提高全市文博文创产品开发水平。提升北京文博创意设计大赛品牌影响力，调动社会各方利用馆藏资源开发文创产品的积极性。</w:t>
      </w:r>
      <w:r>
        <w:rPr>
          <w:rFonts w:hint="eastAsia" w:ascii="仿宋_GB2312" w:hAnsi="仿宋_GB2312" w:cs="仿宋_GB2312"/>
          <w:color w:val="000000"/>
          <w:szCs w:val="32"/>
        </w:rPr>
        <w:t>拓展完善文博文创产品营销体系，把博物馆文创空间打造成博物馆文化展示的亮点，鼓励在实体书店、旅游景区、公共文化空间、重点商圈等区域，开设文博文创产品展示营销场所。</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spacing w:line="520" w:lineRule="exact"/>
              <w:ind w:firstLine="0" w:firstLineChars="0"/>
              <w:jc w:val="center"/>
              <w:rPr>
                <w:rFonts w:ascii="黑体" w:hAnsi="黑体" w:eastAsia="黑体" w:cs="Calibri"/>
                <w:sz w:val="28"/>
                <w:szCs w:val="28"/>
              </w:rPr>
            </w:pPr>
            <w:r>
              <w:rPr>
                <w:rFonts w:hint="eastAsia" w:ascii="黑体" w:hAnsi="黑体" w:eastAsia="黑体" w:cs="Calibri"/>
                <w:sz w:val="28"/>
                <w:szCs w:val="28"/>
              </w:rPr>
              <w:t>专栏二：博物馆之城建设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spacing w:line="520" w:lineRule="exact"/>
              <w:ind w:firstLine="544"/>
              <w:rPr>
                <w:rFonts w:ascii="仿宋_GB2312" w:hAnsi="仿宋_GB2312" w:cs="仿宋_GB2312"/>
                <w:sz w:val="28"/>
                <w:szCs w:val="28"/>
              </w:rPr>
            </w:pPr>
            <w:r>
              <w:rPr>
                <w:rFonts w:hint="eastAsia" w:ascii="楷体_GB2312" w:hAnsi="楷体_GB2312" w:eastAsia="楷体_GB2312" w:cs="楷体_GB2312"/>
                <w:spacing w:val="-4"/>
                <w:sz w:val="28"/>
                <w:szCs w:val="28"/>
              </w:rPr>
              <w:t>1.博物馆建设重点工程。</w:t>
            </w:r>
            <w:r>
              <w:rPr>
                <w:rFonts w:hint="eastAsia" w:ascii="仿宋_GB2312" w:hAnsi="仿宋_GB2312" w:cs="仿宋_GB2312"/>
                <w:sz w:val="28"/>
                <w:szCs w:val="28"/>
              </w:rPr>
              <w:t>完成大运河博物馆（首都博物馆东馆）、路县故城遗址保护展示工程（博物馆）建设，加快中国国家自然博物馆、故宫博物院北院、中国长城博物馆等重点项目建设。</w:t>
            </w:r>
          </w:p>
          <w:p>
            <w:pPr>
              <w:spacing w:line="520" w:lineRule="exact"/>
              <w:ind w:firstLine="544"/>
              <w:rPr>
                <w:rFonts w:cs="Calibri"/>
                <w:sz w:val="28"/>
                <w:szCs w:val="28"/>
              </w:rPr>
            </w:pPr>
            <w:r>
              <w:rPr>
                <w:rFonts w:hint="eastAsia" w:ascii="楷体_GB2312" w:hAnsi="楷体_GB2312" w:eastAsia="楷体_GB2312" w:cs="楷体_GB2312"/>
                <w:spacing w:val="-4"/>
                <w:sz w:val="28"/>
                <w:szCs w:val="28"/>
              </w:rPr>
              <w:t>2.中小博物馆品牌提升工程。</w:t>
            </w:r>
            <w:r>
              <w:rPr>
                <w:rFonts w:hint="eastAsia" w:ascii="仿宋_GB2312" w:hAnsi="仿宋_GB2312" w:cs="仿宋_GB2312"/>
                <w:sz w:val="28"/>
                <w:szCs w:val="28"/>
              </w:rPr>
              <w:t>立足市属博物馆，挖掘中小博物馆资源特色，按照“一馆一品”的建设思路，创造性谋划发展方向，实现中小博物馆办馆质量的整体跃升。</w:t>
            </w:r>
          </w:p>
          <w:p>
            <w:pPr>
              <w:spacing w:line="520" w:lineRule="exact"/>
              <w:ind w:firstLine="544"/>
              <w:rPr>
                <w:rFonts w:ascii="仿宋_GB2312" w:hAnsi="仿宋_GB2312" w:cs="仿宋_GB2312"/>
                <w:sz w:val="28"/>
                <w:szCs w:val="28"/>
              </w:rPr>
            </w:pPr>
            <w:r>
              <w:rPr>
                <w:rFonts w:hint="eastAsia" w:ascii="楷体_GB2312" w:hAnsi="楷体_GB2312" w:eastAsia="楷体_GB2312" w:cs="楷体_GB2312"/>
                <w:spacing w:val="-4"/>
                <w:sz w:val="28"/>
                <w:szCs w:val="28"/>
              </w:rPr>
              <w:t>3.首都精品文物展览季。</w:t>
            </w:r>
            <w:r>
              <w:rPr>
                <w:rFonts w:hint="eastAsia" w:ascii="仿宋_GB2312" w:hAnsi="仿宋_GB2312" w:cs="仿宋_GB2312"/>
                <w:sz w:val="28"/>
                <w:szCs w:val="28"/>
              </w:rPr>
              <w:t>发挥各馆馆藏资源优势，鼓励馆际合作，联合举办精品文物展览；按照相关法规规定，组织专家评选优秀项目和优秀组织机构。</w:t>
            </w:r>
          </w:p>
          <w:p>
            <w:pPr>
              <w:spacing w:line="520" w:lineRule="exact"/>
              <w:ind w:firstLine="544"/>
              <w:rPr>
                <w:rFonts w:ascii="仿宋_GB2312" w:hAnsi="仿宋_GB2312" w:cs="仿宋_GB2312"/>
                <w:sz w:val="28"/>
                <w:szCs w:val="28"/>
              </w:rPr>
            </w:pPr>
            <w:r>
              <w:rPr>
                <w:rFonts w:hint="eastAsia" w:ascii="楷体_GB2312" w:hAnsi="楷体_GB2312" w:eastAsia="楷体_GB2312" w:cs="楷体_GB2312"/>
                <w:spacing w:val="-4"/>
                <w:sz w:val="28"/>
                <w:szCs w:val="28"/>
              </w:rPr>
              <w:t>4.“我们的节日”系列文化活动。</w:t>
            </w:r>
            <w:r>
              <w:rPr>
                <w:rFonts w:hint="eastAsia" w:ascii="仿宋_GB2312" w:hAnsi="仿宋_GB2312" w:cs="仿宋_GB2312"/>
                <w:sz w:val="28"/>
                <w:szCs w:val="28"/>
              </w:rPr>
              <w:t>倡导全市博物馆利用春节、元宵、清明、端午、七夕、中秋、重阳七个传统节日举办特色文化活动。加强市属博物馆文化内涵挖掘，提升“端午嘉年华”“钟鸣祈福”等节日文化活动品牌影响力，弘扬中华优秀传统文化。</w:t>
            </w:r>
          </w:p>
          <w:p>
            <w:pPr>
              <w:spacing w:line="520" w:lineRule="exact"/>
              <w:ind w:firstLine="544"/>
              <w:rPr>
                <w:rFonts w:ascii="仿宋_GB2312" w:hAnsi="仿宋_GB2312" w:cs="仿宋_GB2312"/>
                <w:sz w:val="28"/>
                <w:szCs w:val="28"/>
              </w:rPr>
            </w:pPr>
            <w:r>
              <w:rPr>
                <w:rFonts w:hint="eastAsia" w:ascii="楷体_GB2312" w:hAnsi="楷体_GB2312" w:eastAsia="楷体_GB2312" w:cs="楷体_GB2312"/>
                <w:spacing w:val="-4"/>
                <w:sz w:val="28"/>
                <w:szCs w:val="28"/>
              </w:rPr>
              <w:t>5.“5.18”国际博物馆日活动。</w:t>
            </w:r>
            <w:r>
              <w:rPr>
                <w:rFonts w:hint="eastAsia" w:ascii="仿宋_GB2312" w:hAnsi="仿宋_GB2312" w:cs="仿宋_GB2312"/>
                <w:sz w:val="28"/>
                <w:szCs w:val="28"/>
              </w:rPr>
              <w:t>围绕“博物馆之城”建设，根据每年活动主题精心策划系列活动，引导各级各类博物馆积极参与，</w:t>
            </w:r>
            <w:r>
              <w:rPr>
                <w:rFonts w:hint="eastAsia" w:ascii="仿宋_GB2312" w:hAnsi="仿宋_GB2312" w:cs="仿宋_GB2312"/>
                <w:sz w:val="28"/>
                <w:szCs w:val="28"/>
                <w:lang w:eastAsia="zh-CN"/>
              </w:rPr>
              <w:t>加强</w:t>
            </w:r>
            <w:r>
              <w:rPr>
                <w:rFonts w:hint="eastAsia" w:ascii="仿宋_GB2312" w:hAnsi="仿宋_GB2312" w:cs="仿宋_GB2312"/>
                <w:sz w:val="28"/>
                <w:szCs w:val="28"/>
              </w:rPr>
              <w:t>公众对博物馆事业的了解、参与和关注，不断提升博物馆的文化魅力和影响力。</w:t>
            </w:r>
          </w:p>
          <w:p>
            <w:pPr>
              <w:spacing w:line="520" w:lineRule="exact"/>
              <w:ind w:firstLine="544"/>
              <w:rPr>
                <w:rFonts w:ascii="楷体_GB2312" w:hAnsi="楷体_GB2312" w:eastAsia="楷体_GB2312" w:cs="楷体_GB2312"/>
                <w:spacing w:val="-4"/>
                <w:sz w:val="28"/>
                <w:szCs w:val="28"/>
              </w:rPr>
            </w:pPr>
            <w:r>
              <w:rPr>
                <w:rFonts w:hint="eastAsia" w:ascii="楷体_GB2312" w:hAnsi="楷体_GB2312" w:eastAsia="楷体_GB2312" w:cs="楷体_GB2312"/>
                <w:spacing w:val="-4"/>
                <w:sz w:val="28"/>
                <w:szCs w:val="28"/>
              </w:rPr>
              <w:t>6.北京博物馆之城研究中心。</w:t>
            </w:r>
            <w:r>
              <w:rPr>
                <w:rFonts w:hint="eastAsia" w:ascii="仿宋_GB2312" w:hAnsi="仿宋_GB2312" w:cs="仿宋_GB2312"/>
                <w:spacing w:val="-4"/>
                <w:sz w:val="28"/>
                <w:szCs w:val="28"/>
              </w:rPr>
              <w:t>支持由高校牵头，联合行业主管部门和多方力量，组成北京博物馆之城建设研究机构。</w:t>
            </w:r>
            <w:r>
              <w:rPr>
                <w:rFonts w:hint="eastAsia" w:ascii="仿宋_GB2312" w:hAnsi="仿宋_GB2312" w:cs="仿宋_GB2312"/>
                <w:spacing w:val="-4"/>
                <w:sz w:val="28"/>
                <w:szCs w:val="28"/>
                <w:lang w:eastAsia="zh-CN"/>
              </w:rPr>
              <w:t>从事</w:t>
            </w:r>
            <w:r>
              <w:rPr>
                <w:rFonts w:hint="eastAsia" w:ascii="仿宋_GB2312" w:hAnsi="仿宋_GB2312" w:cs="仿宋_GB2312"/>
                <w:spacing w:val="-4"/>
                <w:sz w:val="28"/>
                <w:szCs w:val="28"/>
              </w:rPr>
              <w:t>发展模式、展示手段、公共服务等方面的创新研究和应用示范</w:t>
            </w:r>
            <w:r>
              <w:rPr>
                <w:rFonts w:hint="eastAsia" w:ascii="仿宋_GB2312" w:hAnsi="仿宋_GB2312" w:cs="仿宋_GB2312"/>
                <w:spacing w:val="-4"/>
                <w:sz w:val="28"/>
                <w:szCs w:val="28"/>
                <w:lang w:eastAsia="zh-CN"/>
              </w:rPr>
              <w:t>工作</w:t>
            </w:r>
            <w:r>
              <w:rPr>
                <w:rFonts w:hint="eastAsia" w:ascii="仿宋_GB2312" w:hAnsi="仿宋_GB2312" w:cs="仿宋_GB2312"/>
                <w:spacing w:val="-4"/>
                <w:sz w:val="28"/>
                <w:szCs w:val="28"/>
              </w:rPr>
              <w:t>。</w:t>
            </w:r>
          </w:p>
          <w:p>
            <w:pPr>
              <w:spacing w:line="520" w:lineRule="exact"/>
              <w:ind w:firstLine="544"/>
              <w:rPr>
                <w:rFonts w:ascii="仿宋_GB2312" w:hAnsi="仿宋_GB2312" w:cs="仿宋_GB2312"/>
                <w:sz w:val="28"/>
                <w:szCs w:val="28"/>
              </w:rPr>
            </w:pPr>
            <w:r>
              <w:rPr>
                <w:rFonts w:hint="eastAsia" w:ascii="楷体_GB2312" w:hAnsi="楷体_GB2312" w:eastAsia="楷体_GB2312" w:cs="楷体_GB2312"/>
                <w:spacing w:val="-4"/>
                <w:sz w:val="28"/>
                <w:szCs w:val="28"/>
              </w:rPr>
              <w:t>7.北京文博衍生品创新孵化中心平台。</w:t>
            </w:r>
            <w:r>
              <w:rPr>
                <w:rFonts w:hint="eastAsia" w:ascii="仿宋_GB2312" w:hAnsi="仿宋_GB2312" w:cs="仿宋_GB2312"/>
                <w:sz w:val="28"/>
                <w:szCs w:val="28"/>
              </w:rPr>
              <w:t>以孵化中心网站建设为抓手，以展示中心、商业推广中心为纽带，配合博物馆馆藏资源版权保护相关活动，集聚博物馆文博文创元素资源，为博物馆文创提供政策扶持、设计开发、版权保护、授权生产、经营管理等配套服务。</w:t>
            </w:r>
          </w:p>
          <w:p>
            <w:pPr>
              <w:spacing w:line="520" w:lineRule="exact"/>
              <w:ind w:firstLine="544"/>
              <w:rPr>
                <w:rFonts w:ascii="仿宋_GB2312" w:cs="Calibri"/>
                <w:szCs w:val="32"/>
              </w:rPr>
            </w:pPr>
            <w:r>
              <w:rPr>
                <w:rFonts w:hint="eastAsia" w:ascii="楷体_GB2312" w:hAnsi="楷体_GB2312" w:eastAsia="楷体_GB2312" w:cs="楷体_GB2312"/>
                <w:spacing w:val="-4"/>
                <w:sz w:val="28"/>
                <w:szCs w:val="28"/>
              </w:rPr>
              <w:t>8.北京文博创意设计大赛。</w:t>
            </w:r>
            <w:r>
              <w:rPr>
                <w:rFonts w:hint="eastAsia" w:ascii="仿宋_GB2312" w:hAnsi="仿宋_GB2312" w:cs="仿宋_GB2312"/>
                <w:spacing w:val="-4"/>
                <w:sz w:val="28"/>
                <w:szCs w:val="28"/>
              </w:rPr>
              <w:t>以创意设计比赛为载体，以为优秀文博创意设计作品提供版权服务为亮点，调动文博单位、文创企业、设计机构、高等院校等各方力量挖掘北京历史文化资源</w:t>
            </w:r>
            <w:r>
              <w:rPr>
                <w:rFonts w:hint="eastAsia" w:ascii="仿宋_GB2312" w:hAnsi="仿宋_GB2312" w:cs="仿宋_GB2312"/>
                <w:spacing w:val="-4"/>
                <w:sz w:val="28"/>
                <w:szCs w:val="28"/>
                <w:lang w:eastAsia="zh-CN"/>
              </w:rPr>
              <w:t>价值</w:t>
            </w:r>
            <w:r>
              <w:rPr>
                <w:rFonts w:hint="eastAsia" w:ascii="仿宋_GB2312" w:hAnsi="仿宋_GB2312" w:cs="仿宋_GB2312"/>
                <w:spacing w:val="-4"/>
                <w:sz w:val="28"/>
                <w:szCs w:val="28"/>
              </w:rPr>
              <w:t>，推动北京地区博物馆文创产品开发工作，提高文博资源服务经济社会发展的能力和水平，让收藏在博物馆里的文物“活起来”。</w:t>
            </w:r>
          </w:p>
        </w:tc>
      </w:tr>
    </w:tbl>
    <w:p>
      <w:pPr>
        <w:ind w:firstLine="640"/>
      </w:pPr>
      <w:bookmarkStart w:id="73" w:name="_Toc43846321"/>
      <w:bookmarkEnd w:id="73"/>
      <w:bookmarkStart w:id="74" w:name="_Hlk81669793"/>
    </w:p>
    <w:p>
      <w:pPr>
        <w:pStyle w:val="6"/>
        <w:ind w:firstLine="643"/>
      </w:pPr>
      <w:bookmarkStart w:id="75" w:name="_Toc133508712_WPSOffice_Level2"/>
      <w:r>
        <w:rPr>
          <w:rFonts w:hint="eastAsia"/>
        </w:rPr>
        <w:t>（三）推动“两园三带”建设彰显新形象</w:t>
      </w:r>
      <w:bookmarkEnd w:id="75"/>
    </w:p>
    <w:bookmarkEnd w:id="65"/>
    <w:bookmarkEnd w:id="66"/>
    <w:bookmarkEnd w:id="74"/>
    <w:p>
      <w:pPr>
        <w:pStyle w:val="7"/>
        <w:ind w:firstLine="643"/>
        <w:rPr>
          <w:color w:val="FF0000"/>
          <w:szCs w:val="32"/>
        </w:rPr>
      </w:pPr>
      <w:bookmarkStart w:id="76" w:name="_Toc43846309"/>
      <w:bookmarkEnd w:id="76"/>
      <w:r>
        <w:rPr>
          <w:rFonts w:hint="eastAsia"/>
          <w:szCs w:val="32"/>
        </w:rPr>
        <w:t>9.擦亮大运河文化品牌</w:t>
      </w:r>
    </w:p>
    <w:p>
      <w:pPr>
        <w:ind w:firstLine="640"/>
        <w:rPr>
          <w:rFonts w:ascii="仿宋_GB2312" w:hAnsi="仿宋_GB2312" w:cs="仿宋_GB2312"/>
          <w:b/>
          <w:bCs/>
          <w:color w:val="000000"/>
          <w:szCs w:val="32"/>
        </w:rPr>
      </w:pPr>
      <w:r>
        <w:rPr>
          <w:rFonts w:hint="eastAsia" w:ascii="仿宋_GB2312" w:hAnsi="仿宋_GB2312" w:cs="仿宋_GB2312"/>
          <w:szCs w:val="32"/>
        </w:rPr>
        <w:t>完成大运河国家文化公园（北京段）建设任务，探索大型线型文化遗产保护的理论应用和实施路径。建设路县故城考古遗址公园、大运河博物馆（首都博物馆东馆）。全面保护大运河沿线历史文化遗址遗迹，完善大运河沿线文化遗产保护清单，推动保护管理标准化、规范化。加大各类遗产保护修缮力度，对具备条件的古代运河及相关水利遗存开展考古工作。加快推进水系景观提升，推进张家湾古镇整体保护与利用，打造漕运文化特色小镇；展示漷县古镇深厚的运河文化底蕴，建设运河特色小镇；保护通州古城明清历史格局，突出展示瓮城遗址；整体恢复“三庙一塔”历史景观风貌。推进万寿寺、延庆寺、八里桥等文物的</w:t>
      </w:r>
      <w:r>
        <w:rPr>
          <w:rFonts w:hint="eastAsia" w:ascii="仿宋_GB2312" w:hAnsi="仿宋_GB2312" w:cs="仿宋_GB2312"/>
          <w:color w:val="000000"/>
          <w:szCs w:val="32"/>
        </w:rPr>
        <w:t>保护、腾退及周边环境整治。建设大运河源头遗址公园。加强对大运河古桥、古闸、古坝、古码头等水利遗产的保护和活化利用。做好大运河文化遗产内涵挖掘和数字化展示，举办好“北京（国际）运河文化节”。加强大运河沿线区域协同发展，拓展跨区域合作机制，办好大运河文化带“京杭对话”等活动。</w:t>
      </w:r>
    </w:p>
    <w:p>
      <w:pPr>
        <w:adjustRightInd w:val="0"/>
        <w:snapToGrid w:val="0"/>
        <w:ind w:firstLine="640"/>
        <w:rPr>
          <w:rFonts w:ascii="仿宋_GB2312" w:hAnsi="仿宋_GB2312" w:cs="仿宋_GB2312"/>
          <w:szCs w:val="32"/>
        </w:rPr>
      </w:pPr>
      <w:r>
        <w:rPr>
          <w:rFonts w:hint="eastAsia" w:ascii="仿宋_GB2312" w:hAnsi="仿宋_GB2312" w:cs="仿宋_GB2312"/>
          <w:szCs w:val="32"/>
        </w:rPr>
        <w:t xml:space="preserve"> </w:t>
      </w:r>
    </w:p>
    <w:p>
      <w:pPr>
        <w:pStyle w:val="7"/>
        <w:ind w:firstLine="643"/>
        <w:rPr>
          <w:szCs w:val="32"/>
        </w:rPr>
      </w:pPr>
      <w:bookmarkStart w:id="77" w:name="_Toc43846310"/>
      <w:bookmarkEnd w:id="77"/>
      <w:r>
        <w:rPr>
          <w:rFonts w:hint="eastAsia"/>
          <w:szCs w:val="32"/>
        </w:rPr>
        <w:t>10.传承长城文化精神</w:t>
      </w:r>
    </w:p>
    <w:p>
      <w:pPr>
        <w:ind w:firstLine="640"/>
        <w:rPr>
          <w:rFonts w:ascii="仿宋_GB2312" w:hAnsi="仿宋_GB2312" w:cs="仿宋_GB2312"/>
          <w:szCs w:val="32"/>
        </w:rPr>
      </w:pPr>
      <w:r>
        <w:rPr>
          <w:rFonts w:hint="eastAsia" w:ascii="仿宋_GB2312" w:hAnsi="仿宋_GB2312" w:cs="仿宋_GB2312"/>
          <w:szCs w:val="32"/>
        </w:rPr>
        <w:t>完成长城国家文化公园（北京段）建设任务。推进中国长城博物馆进行升级改造，全面展示宣传长城文化价值和民族精神。实施箭扣长城修缮工程，形成砖石制长城修缮范本。打造沿河城、马兰路、古北口路、黄花路、居庸路等五个文化精华展示核心组团。持续实施长城抢险和重点点段修缮工程。加强长城保护区划管理，分阶段完善长城“四有”工作，推进界桩标定。扎实开展长城核心区违法建设整治。建立长城文化遗产监测平台，全方位提升长城安防水平和监管能力。建立健全长城保护员管理体系。落实长城保护工作框架协议，促进京津冀长城保护交流协作。充分发挥北京长城文化研究院专业支撑作用，举办长城国际文化论坛，深化长城文化和长城价值研究，推进长城资源档案更新与数字化工程。加强生态修复，推动长城沿线历史文化遗产环境治理。弘扬长城精神，打造“北京长城文化节”等文化传播品牌。</w:t>
      </w:r>
    </w:p>
    <w:p>
      <w:pPr>
        <w:ind w:firstLine="640"/>
        <w:rPr>
          <w:rFonts w:ascii="仿宋_GB2312" w:hAnsi="仿宋_GB2312" w:cs="仿宋_GB2312"/>
          <w:szCs w:val="32"/>
        </w:rPr>
      </w:pPr>
    </w:p>
    <w:p>
      <w:pPr>
        <w:pStyle w:val="7"/>
        <w:ind w:firstLine="643"/>
        <w:rPr>
          <w:szCs w:val="32"/>
        </w:rPr>
      </w:pPr>
      <w:bookmarkStart w:id="78" w:name="_Toc43846311"/>
      <w:bookmarkEnd w:id="78"/>
      <w:r>
        <w:rPr>
          <w:szCs w:val="32"/>
        </w:rPr>
        <w:t>1</w:t>
      </w:r>
      <w:r>
        <w:rPr>
          <w:rFonts w:hint="eastAsia"/>
          <w:szCs w:val="32"/>
        </w:rPr>
        <w:t>1.彰显西山永定河文化魅力</w:t>
      </w:r>
    </w:p>
    <w:p>
      <w:pPr>
        <w:spacing w:after="312" w:afterLines="100"/>
        <w:ind w:firstLine="640"/>
        <w:rPr>
          <w:rFonts w:ascii="仿宋_GB2312" w:hAnsi="仿宋_GB2312" w:cs="仿宋_GB2312"/>
          <w:szCs w:val="32"/>
        </w:rPr>
      </w:pPr>
      <w:r>
        <w:rPr>
          <w:rFonts w:hint="eastAsia" w:ascii="仿宋_GB2312" w:hAnsi="仿宋_GB2312" w:cs="仿宋_GB2312"/>
          <w:szCs w:val="32"/>
        </w:rPr>
        <w:t>推动皇家园林、寺庙、石窟寺、传统村落、京西工业遗产等文化遗产的整体保护利用，重视农业遗产在保持历史村镇传统特色</w:t>
      </w:r>
      <w:r>
        <w:rPr>
          <w:rFonts w:hint="eastAsia" w:ascii="仿宋_GB2312" w:hAnsi="仿宋_GB2312" w:cs="仿宋_GB2312"/>
          <w:szCs w:val="32"/>
          <w:lang w:eastAsia="zh-CN"/>
        </w:rPr>
        <w:t>中</w:t>
      </w:r>
      <w:r>
        <w:rPr>
          <w:rFonts w:hint="eastAsia" w:ascii="仿宋_GB2312" w:hAnsi="仿宋_GB2312" w:cs="仿宋_GB2312"/>
          <w:szCs w:val="32"/>
        </w:rPr>
        <w:t>的独特作用。</w:t>
      </w:r>
      <w:r>
        <w:rPr>
          <w:rFonts w:hint="eastAsia" w:ascii="仿宋_GB2312" w:cs="Calibri"/>
          <w:szCs w:val="32"/>
        </w:rPr>
        <w:t>推进周口店北京人遗址、琉璃河遗址、云居寺等重点文物保护与利用，加强东胡林人遗址规划指导，打造新的国际旅游经典路线。持续开展模式口文保区修缮保护与环境整治。加强对金中都历史文化研究和遗址保护展示，推进金中都遗址公园建设。</w:t>
      </w:r>
      <w:r>
        <w:rPr>
          <w:rFonts w:hint="eastAsia" w:ascii="仿宋_GB2312" w:hAnsi="仿宋_GB2312" w:cs="仿宋_GB2312"/>
          <w:szCs w:val="32"/>
        </w:rPr>
        <w:t>推动潭柘寺、戒台寺、大葆台西汉墓遗址等文物保护展示及环境整治。推进永定河文化综合体建设，展现永定河流域历史演变，彰显特色文化。加强南海子范围内历史遗迹考古工作和保护提升，拓展团河行宫等展示利用方式。举办以西山永定河文化节为代表的特色文化活动，展现其时代风采。</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8" w:type="dxa"/>
            <w:tcBorders>
              <w:top w:val="single" w:color="auto" w:sz="4" w:space="0"/>
              <w:left w:val="single" w:color="auto" w:sz="4" w:space="0"/>
              <w:bottom w:val="single" w:color="auto" w:sz="4" w:space="0"/>
              <w:right w:val="single" w:color="auto" w:sz="4" w:space="0"/>
            </w:tcBorders>
          </w:tcPr>
          <w:p>
            <w:pPr>
              <w:spacing w:line="520" w:lineRule="exact"/>
              <w:ind w:firstLine="0" w:firstLineChars="0"/>
              <w:jc w:val="center"/>
              <w:rPr>
                <w:rFonts w:ascii="黑体" w:hAnsi="黑体" w:eastAsia="黑体" w:cs="Calibri"/>
                <w:sz w:val="28"/>
                <w:szCs w:val="28"/>
              </w:rPr>
            </w:pPr>
            <w:r>
              <w:rPr>
                <w:rFonts w:hint="eastAsia" w:ascii="黑体" w:hAnsi="黑体" w:eastAsia="黑体" w:cs="Calibri"/>
                <w:sz w:val="28"/>
                <w:szCs w:val="28"/>
              </w:rPr>
              <w:t>专栏三：三条文化带文化遗产保护利用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8" w:type="dxa"/>
            <w:tcBorders>
              <w:top w:val="single" w:color="auto" w:sz="4" w:space="0"/>
              <w:left w:val="single" w:color="auto" w:sz="4" w:space="0"/>
              <w:bottom w:val="single" w:color="auto" w:sz="4" w:space="0"/>
              <w:right w:val="single" w:color="auto" w:sz="4" w:space="0"/>
            </w:tcBorders>
          </w:tcPr>
          <w:p>
            <w:pPr>
              <w:widowControl/>
              <w:spacing w:line="520" w:lineRule="exact"/>
              <w:ind w:firstLine="560"/>
              <w:rPr>
                <w:rFonts w:ascii="仿宋_GB2312" w:hAnsi="仿宋_GB2312" w:cs="仿宋_GB2312"/>
                <w:sz w:val="28"/>
                <w:szCs w:val="28"/>
              </w:rPr>
            </w:pPr>
            <w:r>
              <w:rPr>
                <w:rFonts w:hint="eastAsia" w:ascii="楷体_GB2312" w:hAnsi="楷体" w:eastAsia="楷体_GB2312" w:cs="Calibri"/>
                <w:sz w:val="28"/>
                <w:szCs w:val="28"/>
              </w:rPr>
              <w:t>1.</w:t>
            </w:r>
            <w:r>
              <w:rPr>
                <w:rFonts w:hint="eastAsia" w:ascii="楷体_GB2312" w:hAnsi="楷体" w:eastAsia="楷体_GB2312" w:cs="楷体"/>
                <w:sz w:val="28"/>
                <w:szCs w:val="28"/>
              </w:rPr>
              <w:t>大运河国家文化公园（北京段）遗产保护展示项目。</w:t>
            </w:r>
            <w:r>
              <w:rPr>
                <w:rFonts w:hint="eastAsia" w:ascii="仿宋_GB2312" w:hAnsi="仿宋_GB2312" w:cs="仿宋_GB2312"/>
                <w:sz w:val="28"/>
                <w:szCs w:val="28"/>
              </w:rPr>
              <w:t>系统梳理大运河历史文化资源，设立大运河文化研究中心，完成大运河博物馆(首都博物馆东馆)、路县故城遗址保护展示工程等重点建设项目。</w:t>
            </w:r>
          </w:p>
          <w:p>
            <w:pPr>
              <w:widowControl/>
              <w:spacing w:line="520" w:lineRule="exact"/>
              <w:ind w:firstLine="560"/>
              <w:rPr>
                <w:rFonts w:ascii="仿宋_GB2312" w:hAnsi="仿宋_GB2312" w:cs="仿宋_GB2312"/>
                <w:spacing w:val="-4"/>
                <w:sz w:val="28"/>
                <w:szCs w:val="28"/>
              </w:rPr>
            </w:pPr>
            <w:r>
              <w:rPr>
                <w:rFonts w:hint="eastAsia" w:ascii="楷体_GB2312" w:hAnsi="楷体" w:eastAsia="楷体_GB2312" w:cs="Calibri"/>
                <w:sz w:val="28"/>
                <w:szCs w:val="28"/>
              </w:rPr>
              <w:t>2.长城国家文化公园（北京段）遗产保护展示项目。</w:t>
            </w:r>
            <w:r>
              <w:rPr>
                <w:rFonts w:hint="eastAsia" w:ascii="仿宋_GB2312" w:hAnsi="仿宋_GB2312" w:cs="仿宋_GB2312"/>
                <w:spacing w:val="-4"/>
                <w:sz w:val="28"/>
                <w:szCs w:val="28"/>
              </w:rPr>
              <w:t>制定实施长城国家文化公园（北京段）建设规划，重点实施中国长城博物馆改造提升、箭扣长城修缮等国家级标志性项目，以及八达岭长城世界遗产核心展示区建设等项目。</w:t>
            </w:r>
          </w:p>
          <w:p>
            <w:pPr>
              <w:widowControl/>
              <w:spacing w:line="520" w:lineRule="exact"/>
              <w:ind w:firstLine="560"/>
              <w:rPr>
                <w:rFonts w:ascii="仿宋_GB2312" w:hAnsi="仿宋_GB2312" w:cs="仿宋_GB2312"/>
                <w:spacing w:val="-4"/>
                <w:sz w:val="28"/>
                <w:szCs w:val="28"/>
              </w:rPr>
            </w:pPr>
            <w:r>
              <w:rPr>
                <w:rFonts w:hint="eastAsia" w:ascii="楷体_GB2312" w:hAnsi="楷体" w:eastAsia="楷体_GB2312" w:cs="Calibri"/>
                <w:sz w:val="28"/>
                <w:szCs w:val="28"/>
              </w:rPr>
              <w:t>3.长城保护工程。</w:t>
            </w:r>
            <w:r>
              <w:rPr>
                <w:rFonts w:hint="eastAsia" w:ascii="仿宋_GB2312" w:hAnsi="仿宋_GB2312" w:cs="仿宋_GB2312"/>
                <w:spacing w:val="-4"/>
                <w:sz w:val="28"/>
                <w:szCs w:val="28"/>
              </w:rPr>
              <w:t>全面开展长城本体的查险、排险和抢险工作，完成不少于需抢险总量10%的抢险工程，重点完成门头沟沿河城、昌平明长城、密云蟠龙山、延庆九眼楼等点段的保护工程，实施箭扣长城、延庆大庄科长城研究性修缮工程。</w:t>
            </w:r>
          </w:p>
          <w:p>
            <w:pPr>
              <w:widowControl/>
              <w:spacing w:line="520" w:lineRule="exact"/>
              <w:ind w:firstLine="560"/>
              <w:rPr>
                <w:rFonts w:ascii="仿宋_GB2312" w:hAnsi="仿宋_GB2312" w:cs="仿宋_GB2312"/>
                <w:sz w:val="28"/>
                <w:szCs w:val="28"/>
              </w:rPr>
            </w:pPr>
            <w:r>
              <w:rPr>
                <w:rFonts w:hint="eastAsia" w:ascii="楷体_GB2312" w:hAnsi="楷体" w:eastAsia="楷体_GB2312" w:cs="Calibri"/>
                <w:sz w:val="28"/>
                <w:szCs w:val="28"/>
              </w:rPr>
              <w:t>4.西山永定河文化带保护建设项目。</w:t>
            </w:r>
            <w:r>
              <w:rPr>
                <w:rFonts w:hint="eastAsia" w:ascii="仿宋_GB2312" w:hAnsi="仿宋_GB2312" w:cs="仿宋_GB2312"/>
                <w:sz w:val="28"/>
                <w:szCs w:val="28"/>
              </w:rPr>
              <w:t>完成三山五园国家文物保护利用示范区创建任务，实施潭柘寺、戒台寺、醇亲王墓等一批文物保护修缮工程，开展模式口历史文化保护区保护修缮及环境整治提升。</w:t>
            </w:r>
          </w:p>
          <w:p>
            <w:pPr>
              <w:spacing w:line="520" w:lineRule="exact"/>
              <w:ind w:firstLine="560"/>
              <w:rPr>
                <w:rFonts w:ascii="仿宋_GB2312" w:hAnsi="仿宋_GB2312" w:cs="仿宋_GB2312"/>
                <w:spacing w:val="-4"/>
                <w:sz w:val="28"/>
                <w:szCs w:val="28"/>
              </w:rPr>
            </w:pPr>
            <w:r>
              <w:rPr>
                <w:rFonts w:hint="eastAsia" w:ascii="楷体_GB2312" w:hAnsi="楷体" w:eastAsia="楷体_GB2312" w:cs="Calibri"/>
                <w:sz w:val="28"/>
                <w:szCs w:val="28"/>
              </w:rPr>
              <w:t>5.三条文化带文化节。</w:t>
            </w:r>
            <w:r>
              <w:rPr>
                <w:rFonts w:hint="eastAsia" w:ascii="仿宋_GB2312" w:hAnsi="仿宋_GB2312" w:cs="仿宋_GB2312"/>
                <w:sz w:val="28"/>
                <w:szCs w:val="28"/>
              </w:rPr>
              <w:t>定期举办北京（国际）运河文化节</w:t>
            </w:r>
            <w:r>
              <w:rPr>
                <w:rFonts w:hint="eastAsia" w:ascii="仿宋_GB2312" w:hAnsi="仿宋_GB2312" w:cs="仿宋_GB2312"/>
                <w:sz w:val="28"/>
              </w:rPr>
              <w:t>、</w:t>
            </w:r>
            <w:r>
              <w:rPr>
                <w:rFonts w:hint="eastAsia" w:ascii="仿宋_GB2312" w:hAnsi="仿宋_GB2312" w:cs="仿宋_GB2312"/>
                <w:sz w:val="28"/>
                <w:szCs w:val="28"/>
              </w:rPr>
              <w:t>北京长城文化节、西山永定河文化节等品牌活动，不断提升大运河文化带“京杭对话”影响力，持续推动三条文化带建设</w:t>
            </w:r>
            <w:r>
              <w:rPr>
                <w:rFonts w:hint="eastAsia" w:ascii="仿宋_GB2312" w:hAnsi="仿宋_GB2312" w:cs="仿宋_GB2312"/>
                <w:spacing w:val="-4"/>
                <w:sz w:val="28"/>
                <w:szCs w:val="28"/>
              </w:rPr>
              <w:t>。</w:t>
            </w:r>
          </w:p>
          <w:p>
            <w:pPr>
              <w:spacing w:line="520" w:lineRule="exact"/>
              <w:ind w:firstLine="560"/>
              <w:rPr>
                <w:rFonts w:ascii="仿宋_GB2312" w:hAnsi="仿宋_GB2312" w:cs="仿宋_GB2312"/>
                <w:spacing w:val="-4"/>
                <w:sz w:val="28"/>
                <w:szCs w:val="28"/>
              </w:rPr>
            </w:pPr>
            <w:r>
              <w:rPr>
                <w:rFonts w:hint="eastAsia" w:ascii="楷体_GB2312" w:hAnsi="楷体" w:eastAsia="楷体_GB2312" w:cs="Calibri"/>
                <w:sz w:val="28"/>
                <w:szCs w:val="28"/>
              </w:rPr>
              <w:t>6.文化和自然遗产日活动。</w:t>
            </w:r>
            <w:r>
              <w:rPr>
                <w:rFonts w:hint="eastAsia" w:ascii="仿宋_GB2312" w:hAnsi="仿宋_GB2312" w:eastAsia="仿宋_GB2312" w:cs="仿宋_GB2312"/>
                <w:sz w:val="28"/>
                <w:szCs w:val="28"/>
              </w:rPr>
              <w:t>结合</w:t>
            </w:r>
            <w:r>
              <w:rPr>
                <w:rFonts w:hint="eastAsia" w:ascii="仿宋_GB2312" w:hAnsi="仿宋_GB2312" w:cs="仿宋_GB2312"/>
                <w:sz w:val="28"/>
                <w:szCs w:val="28"/>
              </w:rPr>
              <w:t>每年“文化和自然遗产日”活动主题，开展针对性的遗产保护宣传阐释活动，使之成为公众了解遗产价值、参与遗产保护的重要平台</w:t>
            </w:r>
            <w:r>
              <w:rPr>
                <w:rFonts w:hint="eastAsia" w:ascii="仿宋_GB2312" w:hAnsi="仿宋_GB2312" w:cs="仿宋_GB2312"/>
                <w:color w:val="0000FF"/>
                <w:sz w:val="28"/>
                <w:szCs w:val="28"/>
              </w:rPr>
              <w:t>。</w:t>
            </w:r>
          </w:p>
        </w:tc>
      </w:tr>
    </w:tbl>
    <w:p>
      <w:pPr>
        <w:ind w:firstLine="643"/>
        <w:rPr>
          <w:rFonts w:ascii="等线" w:hAnsi="等线" w:eastAsia="楷体_GB2312"/>
          <w:b/>
          <w:szCs w:val="21"/>
        </w:rPr>
      </w:pPr>
      <w:bookmarkStart w:id="79" w:name="_Toc76742855"/>
      <w:bookmarkEnd w:id="79"/>
      <w:bookmarkStart w:id="80" w:name="_Toc611135818_WPSOffice_Level2"/>
    </w:p>
    <w:p>
      <w:pPr>
        <w:pStyle w:val="6"/>
        <w:ind w:firstLine="643"/>
      </w:pPr>
      <w:bookmarkStart w:id="81" w:name="_Toc26930807_WPSOffice_Level2"/>
      <w:bookmarkStart w:id="82" w:name="_Toc58074358"/>
      <w:bookmarkStart w:id="83" w:name="_Toc742916336_WPSOffice_Level2"/>
      <w:r>
        <w:rPr>
          <w:rFonts w:hint="eastAsia"/>
        </w:rPr>
        <w:t>（四）</w:t>
      </w:r>
      <w:bookmarkEnd w:id="81"/>
      <w:bookmarkEnd w:id="82"/>
      <w:bookmarkStart w:id="84" w:name="_Toc43846299"/>
      <w:bookmarkEnd w:id="84"/>
      <w:bookmarkStart w:id="85" w:name="_Hlk81669834"/>
      <w:r>
        <w:rPr>
          <w:rFonts w:hint="eastAsia"/>
        </w:rPr>
        <w:t>推动文物保护利用示范区建设展现新成就</w:t>
      </w:r>
      <w:bookmarkEnd w:id="83"/>
      <w:bookmarkEnd w:id="85"/>
    </w:p>
    <w:p>
      <w:pPr>
        <w:pStyle w:val="7"/>
        <w:ind w:firstLine="643"/>
        <w:rPr>
          <w:szCs w:val="32"/>
        </w:rPr>
      </w:pPr>
      <w:r>
        <w:rPr>
          <w:rFonts w:hint="eastAsia"/>
          <w:szCs w:val="32"/>
        </w:rPr>
        <w:t>12</w:t>
      </w:r>
      <w:r>
        <w:rPr>
          <w:szCs w:val="32"/>
        </w:rPr>
        <w:t>.</w:t>
      </w:r>
      <w:r>
        <w:rPr>
          <w:rFonts w:hint="eastAsia"/>
          <w:szCs w:val="32"/>
        </w:rPr>
        <w:t>三山五园国家文物保护利用示范区</w:t>
      </w:r>
      <w:r>
        <w:rPr>
          <w:rFonts w:hint="eastAsia"/>
        </w:rPr>
        <w:t>成效明显</w:t>
      </w:r>
    </w:p>
    <w:p>
      <w:pPr>
        <w:ind w:firstLine="640"/>
        <w:rPr>
          <w:rFonts w:ascii="仿宋_GB2312" w:hAnsi="仿宋_GB2312" w:cs="仿宋_GB2312"/>
          <w:szCs w:val="32"/>
        </w:rPr>
      </w:pPr>
      <w:r>
        <w:rPr>
          <w:rFonts w:hint="eastAsia" w:ascii="仿宋_GB2312" w:hAnsi="仿宋_GB2312" w:cs="仿宋_GB2312"/>
          <w:szCs w:val="32"/>
        </w:rPr>
        <w:t>全面落实北京海淀三山五园国家文物保护利用示范区建设实施方案，建设国家历史文化传承典范区。系统梳理三山五园地区文物资源，建立完善文物数据库管理平台，着力挖掘阐释文物资源价值，办好三山五园研究院。编制实施三山五园地区整体保护规划，系统保护历史文化遗产和山形水系整体格局。探索破解</w:t>
      </w:r>
      <w:r>
        <w:rPr>
          <w:rFonts w:hint="eastAsia" w:ascii="Times New Roman" w:hAnsi="Times New Roman"/>
          <w:bCs/>
          <w:spacing w:val="-6"/>
        </w:rPr>
        <w:t>不同权属文物资源管理难题路径，</w:t>
      </w:r>
      <w:r>
        <w:rPr>
          <w:rFonts w:hint="eastAsia" w:ascii="仿宋_GB2312" w:hAnsi="仿宋_GB2312" w:cs="仿宋_GB2312"/>
          <w:szCs w:val="32"/>
        </w:rPr>
        <w:t>建立央地军“创新合伙人”文物保护利用新机制，丰富</w:t>
      </w:r>
      <w:r>
        <w:t>社会力量参与</w:t>
      </w:r>
      <w:r>
        <w:rPr>
          <w:rFonts w:hint="eastAsia"/>
        </w:rPr>
        <w:t>文物活化利用新</w:t>
      </w:r>
      <w:r>
        <w:t>模式</w:t>
      </w:r>
      <w:r>
        <w:rPr>
          <w:rFonts w:hint="eastAsia" w:ascii="仿宋_GB2312" w:hAnsi="仿宋_GB2312" w:cs="仿宋_GB2312"/>
          <w:szCs w:val="32"/>
        </w:rPr>
        <w:t>。</w:t>
      </w:r>
      <w:r>
        <w:t>充分发挥中关村科学城的科技创新优势，</w:t>
      </w:r>
      <w:r>
        <w:rPr>
          <w:rFonts w:hint="eastAsia" w:ascii="仿宋_GB2312" w:hAnsi="仿宋_GB2312" w:cs="仿宋_GB2312"/>
          <w:szCs w:val="32"/>
        </w:rPr>
        <w:t>提高文博机构公共文化服务效能和</w:t>
      </w:r>
      <w:r>
        <w:t>文物展示交流传播</w:t>
      </w:r>
      <w:r>
        <w:rPr>
          <w:rFonts w:hint="eastAsia"/>
        </w:rPr>
        <w:t>水平</w:t>
      </w:r>
      <w:r>
        <w:rPr>
          <w:rFonts w:hint="eastAsia" w:ascii="仿宋_GB2312" w:hAnsi="仿宋_GB2312" w:cs="仿宋_GB2312"/>
          <w:szCs w:val="32"/>
        </w:rPr>
        <w:t>。</w:t>
      </w:r>
    </w:p>
    <w:p>
      <w:pPr>
        <w:ind w:firstLine="640"/>
        <w:rPr>
          <w:rFonts w:ascii="仿宋_GB2312" w:hAnsi="仿宋_GB2312" w:cs="仿宋_GB2312"/>
          <w:szCs w:val="32"/>
        </w:rPr>
      </w:pPr>
    </w:p>
    <w:p>
      <w:pPr>
        <w:pStyle w:val="7"/>
        <w:ind w:firstLine="643"/>
      </w:pPr>
      <w:r>
        <w:rPr>
          <w:rFonts w:hint="eastAsia"/>
        </w:rPr>
        <w:t>13.市级文物保护利用示范区</w:t>
      </w:r>
      <w:r>
        <w:rPr>
          <w:rFonts w:hint="eastAsia"/>
          <w:szCs w:val="32"/>
        </w:rPr>
        <w:t>作用凸显</w:t>
      </w:r>
    </w:p>
    <w:p>
      <w:pPr>
        <w:ind w:firstLine="640"/>
        <w:rPr>
          <w:rFonts w:ascii="仿宋_GB2312" w:hAnsi="仿宋_GB2312" w:cs="仿宋_GB2312"/>
          <w:szCs w:val="32"/>
        </w:rPr>
      </w:pPr>
      <w:r>
        <w:rPr>
          <w:rFonts w:hint="eastAsia" w:ascii="仿宋_GB2312" w:hAnsi="仿宋_GB2312" w:cs="仿宋_GB2312"/>
          <w:szCs w:val="32"/>
        </w:rPr>
        <w:t>综合考虑各区资源禀赋、区位优势、发展条件差异，聚焦文物腾退与活化利用、文物安全、资源管理等重点难点问题，</w:t>
      </w:r>
      <w:r>
        <w:rPr>
          <w:rFonts w:hint="eastAsia" w:ascii="Times New Roman" w:hAnsi="Times New Roman"/>
          <w:bCs/>
          <w:spacing w:val="-6"/>
        </w:rPr>
        <w:t>着力深化科技创新、制度创新、业态和模式创新，</w:t>
      </w:r>
      <w:r>
        <w:rPr>
          <w:rFonts w:hint="eastAsia" w:ascii="仿宋_GB2312" w:hAnsi="仿宋_GB2312" w:cs="仿宋_GB2312"/>
          <w:szCs w:val="32"/>
        </w:rPr>
        <w:t>建设各有侧重、各具特色的市级文物保护利用示范区。完善制度设计，制定市级文物保护利用示范区申报遴选、认定评估、动态管理配套措施。</w:t>
      </w:r>
      <w:r>
        <w:rPr>
          <w:rFonts w:hint="eastAsia" w:ascii="仿宋_GB2312" w:hAnsi="仿宋_GB2312" w:cs="仿宋_GB2312"/>
          <w:szCs w:val="32"/>
          <w:lang w:eastAsia="zh-CN"/>
        </w:rPr>
        <w:t>凝练</w:t>
      </w:r>
      <w:r>
        <w:rPr>
          <w:rFonts w:hint="eastAsia" w:ascii="仿宋_GB2312" w:hAnsi="仿宋_GB2312" w:cs="仿宋_GB2312"/>
          <w:szCs w:val="32"/>
        </w:rPr>
        <w:t>创建主题，以历史文化街区、革命文物保护片区、大遗址、文旅产业园区等文化空间为基础，结合城市更新、革命文物展示利用、考古遗址公园建设、国际消费中心城市建设等重点工作系统谋划创建任务</w:t>
      </w:r>
      <w:r>
        <w:rPr>
          <w:rFonts w:hint="eastAsia" w:ascii="Times New Roman" w:hAnsi="Times New Roman"/>
          <w:bCs/>
          <w:spacing w:val="-6"/>
        </w:rPr>
        <w:t>。</w:t>
      </w:r>
      <w:r>
        <w:rPr>
          <w:rFonts w:hint="eastAsia" w:ascii="仿宋_GB2312" w:hAnsi="仿宋_GB2312" w:cs="仿宋_GB2312"/>
          <w:szCs w:val="32"/>
        </w:rPr>
        <w:t>“十四五”时期，建设不少于5个市级文物保护利用示范区。</w:t>
      </w:r>
    </w:p>
    <w:p>
      <w:pPr>
        <w:ind w:firstLine="0" w:firstLineChars="0"/>
        <w:rPr>
          <w:rFonts w:ascii="仿宋_GB2312" w:hAnsi="仿宋_GB2312" w:cs="仿宋_GB2312"/>
          <w:szCs w:val="32"/>
        </w:rPr>
      </w:pPr>
      <w:bookmarkStart w:id="86" w:name="_Toc43846300"/>
      <w:bookmarkEnd w:id="86"/>
    </w:p>
    <w:p>
      <w:pPr>
        <w:pStyle w:val="7"/>
        <w:ind w:firstLine="643"/>
        <w:rPr>
          <w:szCs w:val="32"/>
        </w:rPr>
      </w:pPr>
      <w:bookmarkStart w:id="87" w:name="_Toc43846302"/>
      <w:bookmarkEnd w:id="87"/>
      <w:r>
        <w:rPr>
          <w:szCs w:val="32"/>
        </w:rPr>
        <w:t>1</w:t>
      </w:r>
      <w:r>
        <w:rPr>
          <w:rFonts w:hint="eastAsia"/>
          <w:szCs w:val="32"/>
        </w:rPr>
        <w:t>4.“文物+”这篇大文章效果彰显</w:t>
      </w:r>
    </w:p>
    <w:p>
      <w:pPr>
        <w:spacing w:after="312" w:afterLines="100"/>
        <w:ind w:firstLine="640"/>
        <w:rPr>
          <w:rFonts w:ascii="仿宋_GB2312" w:hAnsi="仿宋_GB2312" w:cs="仿宋_GB2312"/>
          <w:szCs w:val="32"/>
        </w:rPr>
      </w:pPr>
      <w:r>
        <w:rPr>
          <w:rFonts w:hint="eastAsia" w:ascii="仿宋_GB2312" w:hAnsi="仿宋_GB2312" w:cs="仿宋_GB2312"/>
          <w:szCs w:val="32"/>
        </w:rPr>
        <w:t>大力发展以文物资源为支撑的研学、文化体验、度假休闲、红色文化等主题旅游，规范石窟寺、世界文化遗产旅游开发活动，推介一批经典文化探访线路。深入挖掘、阐释文物价值，推出一批影响力大、传播力广的北京文物主题出版物。创新文物价值传播推广方式，充分利用数字技术和新媒体，注重全过程和全媒体传播。积极推动数字文物文化体验展示活动，加大“数字圆明园”推广力度，加强中轴线、大运河、长城等文物I</w:t>
      </w:r>
      <w:r>
        <w:rPr>
          <w:rFonts w:ascii="仿宋_GB2312" w:hAnsi="仿宋_GB2312" w:cs="仿宋_GB2312"/>
          <w:szCs w:val="32"/>
        </w:rPr>
        <w:t>P</w:t>
      </w:r>
      <w:r>
        <w:rPr>
          <w:rFonts w:hint="eastAsia" w:ascii="仿宋_GB2312" w:hAnsi="仿宋_GB2312" w:cs="仿宋_GB2312"/>
          <w:szCs w:val="32"/>
        </w:rPr>
        <w:t>建设，推出一批数字化展示项目。以工业遗产与体育产业融合发展为抓手，推进新首钢地区、二七机车厂、京张铁路等文物建筑的综合利用。提升北京奥运博物馆展示、传播水平，彰显“双奥之城”品牌魅力。</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tcBorders>
              <w:top w:val="single" w:color="auto" w:sz="4" w:space="0"/>
              <w:left w:val="single" w:color="auto" w:sz="4" w:space="0"/>
              <w:bottom w:val="single" w:color="auto" w:sz="4" w:space="0"/>
              <w:right w:val="single" w:color="auto" w:sz="4" w:space="0"/>
            </w:tcBorders>
          </w:tcPr>
          <w:p>
            <w:pPr>
              <w:autoSpaceDE w:val="0"/>
              <w:spacing w:line="520" w:lineRule="exact"/>
              <w:ind w:firstLine="0" w:firstLineChars="0"/>
              <w:jc w:val="center"/>
              <w:rPr>
                <w:rFonts w:ascii="黑体" w:hAnsi="黑体" w:eastAsia="黑体" w:cs="Calibri"/>
                <w:sz w:val="28"/>
                <w:szCs w:val="28"/>
              </w:rPr>
            </w:pPr>
            <w:r>
              <w:rPr>
                <w:rFonts w:hint="eastAsia" w:ascii="黑体" w:hAnsi="黑体" w:eastAsia="黑体" w:cs="Calibri"/>
                <w:sz w:val="28"/>
                <w:szCs w:val="28"/>
              </w:rPr>
              <w:t>专栏四：文物保护利用示范区建设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tcBorders>
              <w:top w:val="single" w:color="auto" w:sz="4" w:space="0"/>
              <w:left w:val="single" w:color="auto" w:sz="4" w:space="0"/>
              <w:bottom w:val="single" w:color="auto" w:sz="4" w:space="0"/>
              <w:right w:val="single" w:color="auto" w:sz="4" w:space="0"/>
            </w:tcBorders>
          </w:tcPr>
          <w:p>
            <w:pPr>
              <w:autoSpaceDE w:val="0"/>
              <w:spacing w:line="520" w:lineRule="exact"/>
              <w:ind w:firstLine="560"/>
              <w:rPr>
                <w:rFonts w:ascii="仿宋_GB2312" w:hAnsi="仿宋" w:cs="Calibri"/>
                <w:sz w:val="28"/>
                <w:szCs w:val="28"/>
              </w:rPr>
            </w:pPr>
            <w:r>
              <w:rPr>
                <w:rFonts w:hint="eastAsia" w:ascii="仿宋_GB2312" w:hAnsi="仿宋" w:cs="Calibri"/>
                <w:sz w:val="28"/>
                <w:szCs w:val="28"/>
              </w:rPr>
              <w:t>1.</w:t>
            </w:r>
            <w:r>
              <w:rPr>
                <w:rFonts w:hint="eastAsia" w:ascii="楷体_GB2312" w:hAnsi="仿宋" w:eastAsia="楷体_GB2312" w:cs="Calibri"/>
                <w:sz w:val="28"/>
                <w:szCs w:val="28"/>
              </w:rPr>
              <w:t>三山五园文物保护工程。</w:t>
            </w:r>
            <w:r>
              <w:rPr>
                <w:rFonts w:hint="eastAsia" w:ascii="仿宋_GB2312" w:hAnsi="仿宋" w:cs="Calibri"/>
                <w:sz w:val="28"/>
                <w:szCs w:val="28"/>
              </w:rPr>
              <w:t>实施颐和园、碧云寺、健锐营等一批文物修缮工程，开展圆明园遗址大宫门区域保护展示工程和颐和园西宫门腾退保护工程。</w:t>
            </w:r>
          </w:p>
          <w:p>
            <w:pPr>
              <w:autoSpaceDE w:val="0"/>
              <w:spacing w:line="520" w:lineRule="exact"/>
              <w:ind w:firstLine="560"/>
              <w:rPr>
                <w:rFonts w:ascii="仿宋_GB2312" w:hAnsi="仿宋" w:cs="Calibri"/>
                <w:sz w:val="28"/>
                <w:szCs w:val="28"/>
              </w:rPr>
            </w:pPr>
            <w:r>
              <w:rPr>
                <w:rFonts w:hint="eastAsia" w:ascii="楷体_GB2312" w:hAnsi="仿宋" w:eastAsia="楷体_GB2312" w:cs="Calibri"/>
                <w:sz w:val="28"/>
                <w:szCs w:val="28"/>
              </w:rPr>
              <w:t>2.三山五园博物馆群建设工程。</w:t>
            </w:r>
            <w:r>
              <w:rPr>
                <w:rFonts w:hint="eastAsia" w:ascii="仿宋_GB2312" w:hAnsi="仿宋" w:cs="Calibri"/>
                <w:sz w:val="28"/>
                <w:szCs w:val="28"/>
              </w:rPr>
              <w:t>推进三山五园艺术中心、圆明园博物馆建设，提升颐和园博物馆的综合能力，构建三山五园博物馆群，进一步强化中关村博物馆影响力。</w:t>
            </w:r>
          </w:p>
          <w:p>
            <w:pPr>
              <w:autoSpaceDE w:val="0"/>
              <w:spacing w:line="520" w:lineRule="exact"/>
              <w:ind w:firstLine="560"/>
              <w:rPr>
                <w:rFonts w:ascii="仿宋_GB2312" w:hAnsi="仿宋" w:cs="Calibri"/>
                <w:sz w:val="28"/>
                <w:szCs w:val="28"/>
              </w:rPr>
            </w:pPr>
            <w:r>
              <w:rPr>
                <w:rFonts w:hint="eastAsia" w:ascii="楷体_GB2312" w:hAnsi="仿宋" w:eastAsia="楷体_GB2312" w:cs="Calibri"/>
                <w:sz w:val="28"/>
                <w:szCs w:val="28"/>
              </w:rPr>
              <w:t>3.三山五园文物活化利用工程。</w:t>
            </w:r>
            <w:r>
              <w:rPr>
                <w:rFonts w:hint="eastAsia" w:ascii="仿宋_GB2312" w:hAnsi="仿宋" w:cs="Calibri"/>
                <w:sz w:val="28"/>
                <w:szCs w:val="28"/>
              </w:rPr>
              <w:t>打造上义师范学校黑山扈校区旧址（309 医院天主堂）等“央地军”合作保护利用文物的典型示范项目；面向社会公众征集文物活化利用创意和方案，推动隐修庵、慈恩寺、六郎庄真武庙等一批文物的活化利用。</w:t>
            </w:r>
          </w:p>
          <w:p>
            <w:pPr>
              <w:autoSpaceDE w:val="0"/>
              <w:spacing w:line="520" w:lineRule="exact"/>
              <w:ind w:firstLine="560"/>
              <w:rPr>
                <w:rFonts w:ascii="仿宋_GB2312" w:hAnsi="仿宋_GB2312" w:cs="仿宋_GB2312"/>
                <w:sz w:val="28"/>
                <w:szCs w:val="28"/>
              </w:rPr>
            </w:pPr>
            <w:r>
              <w:rPr>
                <w:rFonts w:hint="eastAsia" w:ascii="楷体_GB2312" w:hAnsi="仿宋" w:eastAsia="楷体_GB2312" w:cs="Calibri"/>
                <w:sz w:val="28"/>
                <w:szCs w:val="28"/>
              </w:rPr>
              <w:t>4.三山五园文物数字化展示利用工程。</w:t>
            </w:r>
            <w:r>
              <w:rPr>
                <w:rFonts w:hint="eastAsia" w:ascii="仿宋_GB2312" w:hAnsi="仿宋_GB2312" w:cs="仿宋_GB2312"/>
                <w:sz w:val="28"/>
                <w:szCs w:val="28"/>
              </w:rPr>
              <w:t>加强文物价值挖掘阐释，研发特色数字体验文化产品，办好三山五园数字体验中心和巡展，推出圆明园数字化沉浸式体验项目，拓展数字圆明园、数字畅春园应用场景。</w:t>
            </w:r>
          </w:p>
          <w:p>
            <w:pPr>
              <w:autoSpaceDE w:val="0"/>
              <w:spacing w:line="520" w:lineRule="exact"/>
              <w:ind w:firstLine="560"/>
              <w:rPr>
                <w:rFonts w:ascii="仿宋_GB2312" w:hAnsi="仿宋_GB2312" w:cs="仿宋_GB2312"/>
                <w:sz w:val="28"/>
                <w:szCs w:val="28"/>
              </w:rPr>
            </w:pPr>
            <w:r>
              <w:rPr>
                <w:rFonts w:hint="eastAsia" w:ascii="楷体_GB2312" w:hAnsi="仿宋" w:eastAsia="楷体_GB2312" w:cs="Calibri"/>
                <w:sz w:val="28"/>
                <w:szCs w:val="28"/>
              </w:rPr>
              <w:t>5.市级文物保护利用示范区创建工程。</w:t>
            </w:r>
            <w:r>
              <w:rPr>
                <w:rFonts w:hint="eastAsia" w:ascii="仿宋_GB2312" w:hAnsi="仿宋_GB2312" w:cs="仿宋_GB2312"/>
                <w:sz w:val="28"/>
                <w:szCs w:val="28"/>
              </w:rPr>
              <w:t>支持什刹海、卢沟桥</w:t>
            </w:r>
            <w:r>
              <w:rPr>
                <w:rFonts w:hint="eastAsia" w:ascii="仿宋_GB2312" w:hAnsi="仿宋_GB2312" w:cs="仿宋_GB2312"/>
                <w:sz w:val="28"/>
                <w:szCs w:val="28"/>
                <w:lang w:eastAsia="zh-CN"/>
              </w:rPr>
              <w:t>—</w:t>
            </w:r>
            <w:r>
              <w:rPr>
                <w:rFonts w:hint="eastAsia" w:ascii="仿宋_GB2312" w:hAnsi="仿宋_GB2312" w:cs="仿宋_GB2312"/>
                <w:sz w:val="28"/>
                <w:szCs w:val="28"/>
              </w:rPr>
              <w:t>宛平城等有资源条件的片区创建市级文物保护利用示范区，探索文物保护与区域环境提升、经济融合发展新模式。</w:t>
            </w:r>
          </w:p>
          <w:p>
            <w:pPr>
              <w:autoSpaceDE w:val="0"/>
              <w:spacing w:line="520" w:lineRule="exact"/>
              <w:ind w:firstLine="560"/>
              <w:rPr>
                <w:rFonts w:hint="eastAsia"/>
              </w:rPr>
            </w:pPr>
            <w:r>
              <w:rPr>
                <w:rFonts w:ascii="楷体_GB2312" w:hAnsi="仿宋" w:eastAsia="楷体_GB2312" w:cs="Calibri"/>
                <w:sz w:val="28"/>
                <w:szCs w:val="28"/>
              </w:rPr>
              <w:t>6</w:t>
            </w:r>
            <w:r>
              <w:rPr>
                <w:rFonts w:hint="eastAsia" w:ascii="楷体_GB2312" w:hAnsi="仿宋" w:eastAsia="楷体_GB2312" w:cs="Calibri"/>
                <w:sz w:val="28"/>
                <w:szCs w:val="28"/>
              </w:rPr>
              <w:t>.北京文物主题系列出版计划。</w:t>
            </w:r>
            <w:r>
              <w:rPr>
                <w:rFonts w:hint="eastAsia" w:ascii="仿宋_GB2312" w:hAnsi="仿宋_GB2312" w:cs="仿宋_GB2312"/>
                <w:sz w:val="28"/>
                <w:szCs w:val="28"/>
              </w:rPr>
              <w:t>围绕中轴线、三条文化带、革命文物、考古等重点工作，组织出版系列学术著作；针对受众特点，策划出版《北京文物知多少》《图说北京博物馆》等通俗读物。</w:t>
            </w:r>
          </w:p>
        </w:tc>
      </w:tr>
    </w:tbl>
    <w:p>
      <w:pPr>
        <w:ind w:firstLine="0" w:firstLineChars="0"/>
      </w:pPr>
    </w:p>
    <w:p>
      <w:pPr>
        <w:pStyle w:val="6"/>
        <w:ind w:firstLine="643"/>
        <w:rPr>
          <w:rFonts w:ascii="仿宋_GB2312" w:hAnsi="仿宋_GB2312" w:cs="仿宋_GB2312"/>
          <w:szCs w:val="32"/>
        </w:rPr>
      </w:pPr>
      <w:bookmarkStart w:id="88" w:name="_Toc1816357312_WPSOffice_Level2"/>
      <w:bookmarkStart w:id="89" w:name="_Toc1805931214_WPSOffice_Level2"/>
      <w:bookmarkStart w:id="90" w:name="_Toc140358840_WPSOffice_Level2"/>
      <w:r>
        <w:rPr>
          <w:rFonts w:hint="eastAsia"/>
        </w:rPr>
        <w:t>（五）推动革命文物保护和</w:t>
      </w:r>
      <w:r>
        <w:rPr>
          <w:rFonts w:hint="eastAsia" w:ascii="仿宋_GB2312" w:hAnsi="仿宋_GB2312" w:cs="仿宋_GB2312"/>
          <w:szCs w:val="32"/>
        </w:rPr>
        <w:t>红色文化建设形成新高地</w:t>
      </w:r>
      <w:bookmarkEnd w:id="88"/>
    </w:p>
    <w:p>
      <w:pPr>
        <w:pStyle w:val="7"/>
        <w:ind w:firstLine="643"/>
      </w:pPr>
      <w:r>
        <w:t>1</w:t>
      </w:r>
      <w:r>
        <w:rPr>
          <w:rFonts w:hint="eastAsia"/>
        </w:rPr>
        <w:t>5. 加强革命文物资源系统管理</w:t>
      </w:r>
    </w:p>
    <w:p>
      <w:pPr>
        <w:ind w:firstLine="624"/>
        <w:rPr>
          <w:rFonts w:ascii="仿宋_GB2312" w:cs="Calibri"/>
          <w:strike/>
          <w:szCs w:val="32"/>
        </w:rPr>
      </w:pPr>
      <w:r>
        <w:rPr>
          <w:rFonts w:hint="eastAsia" w:ascii="仿宋_GB2312" w:cs="Calibri"/>
          <w:spacing w:val="-4"/>
          <w:szCs w:val="32"/>
        </w:rPr>
        <w:t>高水平完成北京革命文物资源专项调查，系统评估不可移动革命文物保护现状，建立资源目录和数据库。</w:t>
      </w:r>
      <w:r>
        <w:rPr>
          <w:rFonts w:hint="eastAsia"/>
        </w:rPr>
        <w:t>核定公布北京市第二批革命文物名录。</w:t>
      </w:r>
      <w:r>
        <w:rPr>
          <w:rFonts w:hint="eastAsia" w:ascii="仿宋_GB2312" w:cs="Calibri"/>
          <w:spacing w:val="-4"/>
          <w:szCs w:val="32"/>
        </w:rPr>
        <w:t>编制实施不可移动革命文物五年修缮计划，推进天安门、北京大学红楼、卢沟桥（宛平城）等一批代表性革命文物保护规划编制工作。加强可移动革命文物征集，推进全市馆藏革命文物认定、定级、建账和建档工作</w:t>
      </w:r>
      <w:r>
        <w:rPr>
          <w:rFonts w:hint="eastAsia" w:ascii="仿宋_GB2312" w:cs="Calibri"/>
          <w:szCs w:val="32"/>
        </w:rPr>
        <w:t>。</w:t>
      </w:r>
    </w:p>
    <w:p>
      <w:pPr>
        <w:ind w:firstLine="640"/>
        <w:rPr>
          <w:rFonts w:ascii="仿宋_GB2312" w:cs="Calibri"/>
          <w:szCs w:val="32"/>
        </w:rPr>
      </w:pPr>
      <w:r>
        <w:rPr>
          <w:rFonts w:hint="eastAsia" w:ascii="仿宋_GB2312" w:cs="Calibri"/>
          <w:szCs w:val="32"/>
        </w:rPr>
        <w:t xml:space="preserve"> </w:t>
      </w:r>
    </w:p>
    <w:p>
      <w:pPr>
        <w:pStyle w:val="7"/>
        <w:ind w:firstLine="643"/>
      </w:pPr>
      <w:r>
        <w:rPr>
          <w:rFonts w:hint="eastAsia"/>
        </w:rPr>
        <w:t>16. 推进革命文物集中连片保护</w:t>
      </w:r>
    </w:p>
    <w:p>
      <w:pPr>
        <w:ind w:firstLine="640"/>
        <w:rPr>
          <w:rFonts w:ascii="仿宋_GB2312" w:cs="Calibri"/>
          <w:szCs w:val="32"/>
        </w:rPr>
      </w:pPr>
      <w:r>
        <w:rPr>
          <w:rFonts w:hint="eastAsia" w:ascii="仿宋_GB2312" w:cs="Calibri"/>
          <w:szCs w:val="32"/>
        </w:rPr>
        <w:t>实施中国共产党早期北京革命活动、抗日战争、“进京赶考”建立新中国等三大主题片区的整体保护利用。以革命文物史实研究和价值阐释为基础，推出一批经典红色旅游精品线路。注重主题片区革命文物整体保护</w:t>
      </w:r>
      <w:r>
        <w:rPr>
          <w:rFonts w:hint="eastAsia" w:ascii="仿宋_GB2312" w:cs="Calibri"/>
          <w:szCs w:val="32"/>
          <w:lang w:eastAsia="zh-CN"/>
        </w:rPr>
        <w:t>和</w:t>
      </w:r>
      <w:r>
        <w:rPr>
          <w:rFonts w:hint="eastAsia" w:ascii="仿宋_GB2312" w:cs="Calibri"/>
          <w:szCs w:val="32"/>
        </w:rPr>
        <w:t>全面展示，以京津冀协同发展战略为引领，联合河北、山西等省探索晋察冀、冀热辽片区跨省市连片保护工作机制，共同编制相关革命文物保护利用片区工作规划。</w:t>
      </w:r>
    </w:p>
    <w:p>
      <w:pPr>
        <w:ind w:firstLine="640"/>
        <w:rPr>
          <w:rFonts w:ascii="仿宋_GB2312" w:cs="Calibri"/>
          <w:szCs w:val="32"/>
        </w:rPr>
      </w:pPr>
      <w:r>
        <w:rPr>
          <w:rFonts w:hint="eastAsia" w:ascii="仿宋_GB2312" w:cs="Calibri"/>
          <w:szCs w:val="32"/>
        </w:rPr>
        <w:t xml:space="preserve"> </w:t>
      </w:r>
    </w:p>
    <w:p>
      <w:pPr>
        <w:pStyle w:val="7"/>
        <w:ind w:firstLine="643"/>
      </w:pPr>
      <w:r>
        <w:rPr>
          <w:rFonts w:hint="eastAsia"/>
        </w:rPr>
        <w:t>17. 提升革命文物展览活动水平</w:t>
      </w:r>
    </w:p>
    <w:p>
      <w:pPr>
        <w:spacing w:after="312" w:afterLines="100"/>
        <w:ind w:firstLine="640"/>
      </w:pPr>
      <w:r>
        <w:rPr>
          <w:rFonts w:hint="eastAsia" w:ascii="仿宋_GB2312" w:cs="Calibri"/>
          <w:szCs w:val="32"/>
        </w:rPr>
        <w:t>围绕重要时间节点和重大事件，组织推出一批精品展览。构建线上“北京革命文物展览中心”，推动线下实体展览与线上展览结合互动。积极开展社会主义核心价值观主题展览推荐。以北大红楼、中国人民抗日战争纪念馆、香山革命纪念地等爱国主义教育基地为依托，组织开展主题突出、形式新颖、内容丰富的文化活动，加强爱国主义教育和理想信念教育。</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黑体" w:hAnsi="黑体" w:eastAsia="黑体" w:cs="Calibri"/>
                <w:sz w:val="28"/>
                <w:szCs w:val="28"/>
              </w:rPr>
            </w:pPr>
            <w:r>
              <w:rPr>
                <w:rFonts w:hint="eastAsia" w:ascii="黑体" w:hAnsi="黑体" w:eastAsia="黑体" w:cs="Calibri"/>
                <w:sz w:val="28"/>
                <w:szCs w:val="28"/>
              </w:rPr>
              <w:t>专栏五：革命文物保护利用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tcBorders>
              <w:top w:val="single" w:color="auto" w:sz="4" w:space="0"/>
              <w:left w:val="single" w:color="auto" w:sz="4" w:space="0"/>
              <w:bottom w:val="single" w:color="auto" w:sz="4" w:space="0"/>
              <w:right w:val="single" w:color="auto" w:sz="4" w:space="0"/>
            </w:tcBorders>
          </w:tcPr>
          <w:p>
            <w:pPr>
              <w:adjustRightInd w:val="0"/>
              <w:snapToGrid w:val="0"/>
              <w:spacing w:line="520" w:lineRule="exact"/>
              <w:ind w:firstLine="544"/>
              <w:rPr>
                <w:rFonts w:ascii="仿宋_GB2312" w:cs="Calibri"/>
                <w:sz w:val="28"/>
                <w:szCs w:val="28"/>
              </w:rPr>
            </w:pPr>
            <w:r>
              <w:rPr>
                <w:rFonts w:hint="eastAsia" w:ascii="楷体_GB2312" w:hAnsi="楷体_GB2312" w:eastAsia="楷体_GB2312" w:cs="楷体_GB2312"/>
                <w:spacing w:val="-4"/>
                <w:sz w:val="28"/>
                <w:szCs w:val="28"/>
              </w:rPr>
              <w:t>1.北大红楼与中国共产党早期北京革命活动旧址保护利用工程。</w:t>
            </w:r>
            <w:r>
              <w:rPr>
                <w:rFonts w:hint="eastAsia" w:ascii="仿宋_GB2312" w:hAnsi="仿宋_GB2312" w:cs="仿宋_GB2312"/>
                <w:sz w:val="28"/>
                <w:szCs w:val="28"/>
              </w:rPr>
              <w:t>统筹北大红楼、《新青年》编辑部旧址（陈独秀旧居）、长辛店二七大罢工旧址等多处与中国共产党创建活动有关的重要会议场所、重大历史事件发生地、重要党史人物故居以及重要纪念设施，进行分类打造提升，并配以相应的主题或专题展览，集中展示中国共产党早期北京革命活动的光辉历程，着力建设北京红色文化主题体验区。</w:t>
            </w:r>
          </w:p>
          <w:p>
            <w:pPr>
              <w:adjustRightInd w:val="0"/>
              <w:snapToGrid w:val="0"/>
              <w:spacing w:line="520" w:lineRule="exact"/>
              <w:ind w:firstLine="544"/>
              <w:rPr>
                <w:rFonts w:ascii="仿宋_GB2312" w:hAnsi="仿宋_GB2312" w:cs="仿宋_GB2312"/>
                <w:sz w:val="28"/>
                <w:szCs w:val="28"/>
              </w:rPr>
            </w:pPr>
            <w:r>
              <w:rPr>
                <w:rFonts w:hint="eastAsia" w:ascii="楷体_GB2312" w:hAnsi="楷体_GB2312" w:eastAsia="楷体_GB2312" w:cs="楷体_GB2312"/>
                <w:spacing w:val="-4"/>
                <w:sz w:val="28"/>
                <w:szCs w:val="28"/>
              </w:rPr>
              <w:t>2.卢沟桥</w:t>
            </w:r>
            <w:r>
              <w:rPr>
                <w:rFonts w:hint="eastAsia" w:ascii="楷体_GB2312" w:hAnsi="楷体_GB2312" w:eastAsia="楷体_GB2312" w:cs="楷体_GB2312"/>
                <w:spacing w:val="-4"/>
                <w:sz w:val="28"/>
                <w:szCs w:val="28"/>
                <w:lang w:eastAsia="zh-CN"/>
              </w:rPr>
              <w:t>—</w:t>
            </w:r>
            <w:r>
              <w:rPr>
                <w:rFonts w:hint="eastAsia" w:ascii="楷体_GB2312" w:hAnsi="楷体_GB2312" w:eastAsia="楷体_GB2312" w:cs="楷体_GB2312"/>
                <w:spacing w:val="-4"/>
                <w:sz w:val="28"/>
                <w:szCs w:val="28"/>
              </w:rPr>
              <w:t>宛平城抗战主题片区保护利用工程。</w:t>
            </w:r>
            <w:r>
              <w:rPr>
                <w:rFonts w:hint="eastAsia" w:ascii="仿宋_GB2312" w:hAnsi="仿宋_GB2312" w:cs="仿宋_GB2312"/>
                <w:sz w:val="28"/>
                <w:szCs w:val="28"/>
              </w:rPr>
              <w:t>实施卢沟桥</w:t>
            </w:r>
            <w:r>
              <w:rPr>
                <w:rFonts w:hint="eastAsia" w:ascii="仿宋_GB2312" w:hAnsi="仿宋_GB2312" w:cs="仿宋_GB2312"/>
                <w:sz w:val="28"/>
                <w:szCs w:val="28"/>
                <w:lang w:eastAsia="zh-CN"/>
              </w:rPr>
              <w:t>—</w:t>
            </w:r>
            <w:r>
              <w:rPr>
                <w:rFonts w:hint="eastAsia" w:ascii="仿宋_GB2312" w:hAnsi="仿宋_GB2312" w:cs="仿宋_GB2312"/>
                <w:sz w:val="28"/>
                <w:szCs w:val="28"/>
              </w:rPr>
              <w:t>宛平城地区整体保护腾退，组织实施马栏村、平北抗日根据地大庄科遗迹、晋察冀片区抗战革命文物保护工程，开展“没有共产党就没有新中国”词曲创作地、平西抗日战争纪念馆展示提升工程，修复平西地下交通线部分交通节点，加强大觉寺、普照寺、贝家花园等重点文物保护，生动再现中国人民争取民族独立和人民解放斗争的艰苦历程。</w:t>
            </w:r>
          </w:p>
          <w:p>
            <w:pPr>
              <w:adjustRightInd w:val="0"/>
              <w:snapToGrid w:val="0"/>
              <w:spacing w:line="520" w:lineRule="exact"/>
              <w:ind w:firstLine="544"/>
              <w:rPr>
                <w:rFonts w:ascii="仿宋_GB2312" w:hAnsi="仿宋_GB2312" w:cs="仿宋_GB2312"/>
                <w:sz w:val="28"/>
                <w:szCs w:val="28"/>
              </w:rPr>
            </w:pPr>
            <w:r>
              <w:rPr>
                <w:rFonts w:hint="eastAsia" w:ascii="楷体_GB2312" w:hAnsi="楷体_GB2312" w:eastAsia="楷体_GB2312" w:cs="楷体_GB2312"/>
                <w:spacing w:val="-4"/>
                <w:sz w:val="28"/>
                <w:szCs w:val="28"/>
              </w:rPr>
              <w:t>3.“进京赶考”建立新中国主题片区保护利用工程。</w:t>
            </w:r>
            <w:r>
              <w:rPr>
                <w:rFonts w:hint="eastAsia" w:ascii="仿宋_GB2312" w:hAnsi="仿宋_GB2312" w:cs="仿宋_GB2312"/>
                <w:sz w:val="28"/>
                <w:szCs w:val="28"/>
              </w:rPr>
              <w:t>以中共中央北京香山革命纪念地为重点，打造爱国主义教育示范基地、党性教育基地和全国红色旅游胜地，推进天安门、双清别墅等重点革命文物保护规划的编制和“四有”工作，开展清华园车站旧址、新林院8号（梁思成旧居）等文物修缮工程。</w:t>
            </w:r>
          </w:p>
          <w:p>
            <w:pPr>
              <w:autoSpaceDE w:val="0"/>
              <w:spacing w:line="520" w:lineRule="exact"/>
              <w:ind w:firstLine="544"/>
              <w:rPr>
                <w:rFonts w:ascii="仿宋_GB2312" w:hAnsi="楷体" w:cs="Calibri"/>
                <w:color w:val="000000"/>
                <w:sz w:val="28"/>
                <w:szCs w:val="28"/>
              </w:rPr>
            </w:pPr>
            <w:r>
              <w:rPr>
                <w:rFonts w:hint="eastAsia" w:ascii="楷体_GB2312" w:hAnsi="楷体_GB2312" w:eastAsia="楷体_GB2312" w:cs="楷体_GB2312"/>
                <w:spacing w:val="-4"/>
                <w:sz w:val="28"/>
                <w:szCs w:val="28"/>
              </w:rPr>
              <w:t>4.红色主题精品展览。</w:t>
            </w:r>
            <w:r>
              <w:rPr>
                <w:rFonts w:hint="eastAsia" w:ascii="仿宋_GB2312" w:hAnsi="仿宋_GB2312" w:cs="仿宋_GB2312"/>
                <w:color w:val="000000"/>
                <w:sz w:val="28"/>
                <w:szCs w:val="28"/>
              </w:rPr>
              <w:t>围绕中国共产党建党100周年、迎接中国共产党第二十次全国代表大会召开、新中国成立75周年、世界反法西斯战争胜利80周年等重要时间节点和重大事件，组织全市博物馆、纪念馆主动策划一批主题突出、导向鲜明、内涵丰富的精品陈列展览，激发爱国热情、凝聚人民力量、培育民族精神。</w:t>
            </w:r>
          </w:p>
        </w:tc>
      </w:tr>
    </w:tbl>
    <w:p>
      <w:pPr>
        <w:pStyle w:val="2"/>
        <w:ind w:firstLine="723"/>
      </w:pPr>
    </w:p>
    <w:p>
      <w:pPr>
        <w:pStyle w:val="2"/>
        <w:ind w:firstLine="723"/>
        <w:rPr>
          <w:rFonts w:ascii="仿宋_GB2312" w:cs="Calibri"/>
          <w:szCs w:val="32"/>
        </w:rPr>
      </w:pPr>
    </w:p>
    <w:p>
      <w:pPr>
        <w:pStyle w:val="6"/>
        <w:ind w:firstLine="643"/>
        <w:rPr>
          <w:rFonts w:ascii="仿宋_GB2312" w:hAnsi="仿宋_GB2312" w:cs="仿宋_GB2312"/>
          <w:szCs w:val="32"/>
        </w:rPr>
      </w:pPr>
      <w:bookmarkStart w:id="91" w:name="_Toc2111082130_WPSOffice_Level2"/>
      <w:r>
        <w:rPr>
          <w:rFonts w:hint="eastAsia"/>
        </w:rPr>
        <w:t>（六）推动首都考古工作厚植发展新优势</w:t>
      </w:r>
      <w:bookmarkEnd w:id="91"/>
    </w:p>
    <w:p>
      <w:pPr>
        <w:pStyle w:val="7"/>
        <w:ind w:firstLine="643"/>
        <w:rPr>
          <w:szCs w:val="32"/>
        </w:rPr>
      </w:pPr>
      <w:r>
        <w:rPr>
          <w:rFonts w:hint="eastAsia"/>
          <w:szCs w:val="32"/>
        </w:rPr>
        <w:t>18.加强考古和历史研究</w:t>
      </w:r>
    </w:p>
    <w:p>
      <w:pPr>
        <w:ind w:firstLine="640"/>
        <w:rPr>
          <w:rFonts w:ascii="仿宋_GB2312" w:hAnsi="仿宋_GB2312" w:cs="仿宋_GB2312"/>
          <w:szCs w:val="32"/>
        </w:rPr>
      </w:pPr>
      <w:r>
        <w:rPr>
          <w:rFonts w:hint="eastAsia"/>
        </w:rPr>
        <w:t>以建设一流考古研究机构为目标，</w:t>
      </w:r>
      <w:r>
        <w:rPr>
          <w:rFonts w:hint="eastAsia" w:ascii="仿宋_GB2312" w:hAnsi="仿宋_GB2312" w:cs="仿宋_GB2312"/>
          <w:bCs/>
          <w:szCs w:val="32"/>
        </w:rPr>
        <w:t>重点提升考古科研水平。以课题为核心加强与考古专业机构合作，</w:t>
      </w:r>
      <w:r>
        <w:rPr>
          <w:rFonts w:hint="eastAsia" w:ascii="仿宋_GB2312" w:hAnsi="仿宋_GB2312" w:cs="仿宋_GB2312"/>
          <w:szCs w:val="32"/>
        </w:rPr>
        <w:t>研究设立“燕文化”“辽金元历史考古”“明清历史考古”等研究平台，在北京文明起源、燕山南北史前文化嬗变、长城内外史前—青铜时期生业形态、古代民族关系、城市考古等方面谋划重大项目协同攻关，逐步树立北京考古在北京文明起源与早期发展研究、明清历史考古研究方面的优势地位。做好考古成果的挖掘、整理和阐释，完善考古和文物保护展示链条，及时完成考古报告编辑出版，加强重要资料成果的研究发表。大力发展科技考古，加大人才培养和经费投入，以陶瓷、冶金、植物、环境等为先期科技考古发展方向，同步提升研究的数字化、信息化水平，研究建设考古标本库房和实验室。</w:t>
      </w:r>
      <w:bookmarkStart w:id="92" w:name="_Toc76742857"/>
      <w:bookmarkEnd w:id="92"/>
      <w:bookmarkStart w:id="93" w:name="_Toc50369435"/>
      <w:bookmarkEnd w:id="93"/>
      <w:bookmarkStart w:id="94" w:name="_Toc50369437"/>
      <w:bookmarkEnd w:id="94"/>
      <w:bookmarkStart w:id="95" w:name="_Toc43846316"/>
      <w:bookmarkEnd w:id="95"/>
    </w:p>
    <w:p>
      <w:pPr>
        <w:ind w:firstLine="0" w:firstLineChars="0"/>
        <w:rPr>
          <w:rFonts w:ascii="仿宋_GB2312" w:hAnsi="Arial"/>
          <w:szCs w:val="32"/>
        </w:rPr>
      </w:pPr>
      <w:r>
        <w:rPr>
          <w:rFonts w:hint="eastAsia" w:ascii="仿宋_GB2312" w:hAnsi="Arial"/>
          <w:szCs w:val="32"/>
        </w:rPr>
        <w:t xml:space="preserve"> </w:t>
      </w:r>
    </w:p>
    <w:p>
      <w:pPr>
        <w:pStyle w:val="7"/>
        <w:ind w:firstLine="643"/>
      </w:pPr>
      <w:r>
        <w:rPr>
          <w:rFonts w:hint="eastAsia"/>
        </w:rPr>
        <w:t>19.聚力考古遗址公园建设</w:t>
      </w:r>
    </w:p>
    <w:p>
      <w:pPr>
        <w:spacing w:after="312" w:afterLines="100"/>
        <w:ind w:firstLine="640"/>
        <w:rPr>
          <w:rFonts w:ascii="仿宋_GB2312" w:hAnsi="Arial"/>
          <w:szCs w:val="32"/>
        </w:rPr>
      </w:pPr>
      <w:r>
        <w:rPr>
          <w:rFonts w:hint="eastAsia" w:ascii="仿宋_GB2312" w:hAnsi="Arial"/>
          <w:bCs/>
          <w:szCs w:val="32"/>
        </w:rPr>
        <w:t>综合评估全市重要遗址价值，整体谋划全市考古遗址公园点位布局。</w:t>
      </w:r>
      <w:r>
        <w:rPr>
          <w:rFonts w:hint="eastAsia" w:ascii="仿宋_GB2312" w:hAnsi="Arial"/>
          <w:szCs w:val="32"/>
        </w:rPr>
        <w:t>重点建设琉璃河国家考古遗址公园和路县故城考古遗址公园，</w:t>
      </w:r>
      <w:r>
        <w:rPr>
          <w:rFonts w:hint="eastAsia" w:ascii="仿宋_GB2312" w:hAnsi="Arial"/>
          <w:bCs/>
          <w:szCs w:val="32"/>
        </w:rPr>
        <w:t>修订</w:t>
      </w:r>
      <w:r>
        <w:rPr>
          <w:rFonts w:hint="eastAsia" w:ascii="仿宋_GB2312" w:hAnsi="Arial"/>
          <w:szCs w:val="32"/>
        </w:rPr>
        <w:t>周口店、圆明园遗址</w:t>
      </w:r>
      <w:r>
        <w:rPr>
          <w:rFonts w:hint="eastAsia" w:ascii="仿宋_GB2312" w:hAnsi="Arial"/>
          <w:bCs/>
          <w:szCs w:val="32"/>
        </w:rPr>
        <w:t>文物保护规划，推进金中都、上宅遗址公园建设。</w:t>
      </w:r>
      <w:r>
        <w:rPr>
          <w:rFonts w:hint="eastAsia" w:ascii="仿宋_GB2312" w:hAnsi="Arial"/>
          <w:szCs w:val="32"/>
        </w:rPr>
        <w:t>加强考古工作计划编制实施，强化考古对遗址公园建设的支撑和推动作用。以数字化、智能化、网络化为方向，专项研究考古遗址阐释展示策略，整体提升遗址保护展示水平。加强与国家考古遗址公园联盟单位的交流合作，提升工作水平和行业影响力。围绕北京建都870年、建城3070年等重要时间节点，组织策划学术交流活动，打造北京公众考古季等宣传品牌。</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黑体" w:hAnsi="黑体" w:eastAsia="黑体" w:cs="Calibri"/>
                <w:sz w:val="28"/>
                <w:szCs w:val="28"/>
              </w:rPr>
            </w:pPr>
            <w:r>
              <w:rPr>
                <w:rFonts w:hint="eastAsia" w:ascii="黑体" w:hAnsi="黑体" w:eastAsia="黑体" w:cs="Calibri"/>
                <w:sz w:val="28"/>
                <w:szCs w:val="28"/>
              </w:rPr>
              <w:t>专栏六：考古工作能力水平提升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tcBorders>
              <w:top w:val="single" w:color="auto" w:sz="4" w:space="0"/>
              <w:left w:val="single" w:color="auto" w:sz="4" w:space="0"/>
              <w:bottom w:val="single" w:color="auto" w:sz="4" w:space="0"/>
              <w:right w:val="single" w:color="auto" w:sz="4" w:space="0"/>
            </w:tcBorders>
          </w:tcPr>
          <w:p>
            <w:pPr>
              <w:adjustRightInd w:val="0"/>
              <w:snapToGrid w:val="0"/>
              <w:spacing w:line="520" w:lineRule="exact"/>
              <w:ind w:firstLine="560"/>
              <w:rPr>
                <w:rFonts w:ascii="仿宋_GB2312" w:hAnsi="楷体" w:cs="Calibri"/>
                <w:sz w:val="28"/>
                <w:szCs w:val="28"/>
              </w:rPr>
            </w:pPr>
            <w:r>
              <w:rPr>
                <w:rFonts w:hint="eastAsia" w:ascii="楷体_GB2312" w:hAnsi="楷体" w:eastAsia="楷体_GB2312" w:cs="Calibri"/>
                <w:sz w:val="28"/>
                <w:szCs w:val="28"/>
              </w:rPr>
              <w:t>1.区域考古学研究项目。</w:t>
            </w:r>
            <w:r>
              <w:rPr>
                <w:rFonts w:hint="eastAsia" w:ascii="仿宋_GB2312" w:hAnsi="楷体" w:cs="Calibri"/>
                <w:sz w:val="28"/>
                <w:szCs w:val="28"/>
              </w:rPr>
              <w:t>围绕早期文明起源与燕文化、北京在中华民族多元一体形成和历史演进中的作用、燕山南北生业经济形态研究三个核心课题，深化区域考古学研究，积极申报、参与“考古中国”重大项目，形成一批研究成果。</w:t>
            </w:r>
          </w:p>
          <w:p>
            <w:pPr>
              <w:widowControl/>
              <w:adjustRightInd w:val="0"/>
              <w:snapToGrid w:val="0"/>
              <w:spacing w:line="520" w:lineRule="exact"/>
              <w:ind w:firstLine="560"/>
              <w:rPr>
                <w:rFonts w:ascii="仿宋_GB2312" w:hAnsi="仿宋_GB2312" w:cs="仿宋_GB2312"/>
                <w:sz w:val="28"/>
                <w:szCs w:val="28"/>
              </w:rPr>
            </w:pPr>
            <w:r>
              <w:rPr>
                <w:rFonts w:hint="eastAsia" w:ascii="楷体_GB2312" w:hAnsi="楷体" w:eastAsia="楷体_GB2312" w:cs="Calibri"/>
                <w:sz w:val="28"/>
                <w:szCs w:val="28"/>
              </w:rPr>
              <w:t>2</w:t>
            </w:r>
            <w:r>
              <w:rPr>
                <w:rFonts w:ascii="楷体_GB2312" w:hAnsi="楷体" w:eastAsia="楷体_GB2312" w:cs="Calibri"/>
                <w:sz w:val="28"/>
                <w:szCs w:val="28"/>
              </w:rPr>
              <w:t>.</w:t>
            </w:r>
            <w:r>
              <w:rPr>
                <w:rFonts w:hint="eastAsia" w:ascii="楷体_GB2312" w:hAnsi="楷体" w:eastAsia="楷体_GB2312" w:cs="Calibri"/>
                <w:sz w:val="28"/>
                <w:szCs w:val="28"/>
              </w:rPr>
              <w:t>琉璃河国家考古遗址公园。</w:t>
            </w:r>
            <w:r>
              <w:rPr>
                <w:rFonts w:hint="eastAsia" w:ascii="仿宋_GB2312" w:hAnsi="仿宋_GB2312" w:cs="仿宋_GB2312"/>
                <w:sz w:val="28"/>
                <w:szCs w:val="28"/>
              </w:rPr>
              <w:t>编制琉璃河遗址保护规划五年行动计划，以及国家考古遗址公园详细规划、建设项目计划书和文物影响评估报告，组织开展长期持续的考古和研究工作，以行业领先标准配套建设考古工作站、燕文化研究中心。</w:t>
            </w:r>
          </w:p>
          <w:p>
            <w:pPr>
              <w:adjustRightInd w:val="0"/>
              <w:snapToGrid w:val="0"/>
              <w:spacing w:line="520" w:lineRule="exact"/>
              <w:ind w:firstLine="560"/>
              <w:rPr>
                <w:rFonts w:ascii="仿宋_GB2312" w:hAnsi="仿宋_GB2312" w:cs="仿宋_GB2312"/>
                <w:sz w:val="28"/>
                <w:szCs w:val="28"/>
              </w:rPr>
            </w:pPr>
            <w:r>
              <w:rPr>
                <w:rFonts w:hint="eastAsia" w:ascii="楷体_GB2312" w:hAnsi="楷体" w:eastAsia="楷体_GB2312" w:cs="Calibri"/>
                <w:sz w:val="28"/>
                <w:szCs w:val="28"/>
              </w:rPr>
              <w:t>3.路县故城考古遗址公园。</w:t>
            </w:r>
            <w:r>
              <w:rPr>
                <w:rFonts w:hint="eastAsia" w:ascii="仿宋_GB2312" w:hAnsi="仿宋_GB2312" w:cs="仿宋_GB2312"/>
                <w:sz w:val="28"/>
                <w:szCs w:val="28"/>
              </w:rPr>
              <w:t>编制路县故城遗址保护规划和考古遗址公园规划，开展路县故城遗址考古发掘工作，实现原址整体保护，并进一步恢复护城河等遗址原貌，建设包括遗址保护展示工程在内的考古遗址公园，发挥历史文化遗产综合价值，提升城市副中心文化底蕴。</w:t>
            </w:r>
          </w:p>
          <w:p>
            <w:pPr>
              <w:adjustRightInd w:val="0"/>
              <w:snapToGrid w:val="0"/>
              <w:spacing w:line="520" w:lineRule="exact"/>
              <w:ind w:firstLine="560"/>
              <w:rPr>
                <w:rFonts w:ascii="楷体" w:hAnsi="楷体" w:eastAsia="楷体" w:cs="Calibri"/>
                <w:sz w:val="28"/>
                <w:szCs w:val="28"/>
              </w:rPr>
            </w:pPr>
            <w:r>
              <w:rPr>
                <w:rFonts w:hint="eastAsia" w:ascii="楷体_GB2312" w:hAnsi="楷体" w:eastAsia="楷体_GB2312" w:cs="Calibri"/>
                <w:sz w:val="28"/>
                <w:szCs w:val="28"/>
              </w:rPr>
              <w:t>4.北京公众考古季。</w:t>
            </w:r>
            <w:r>
              <w:rPr>
                <w:rFonts w:hint="eastAsia" w:ascii="仿宋_GB2312" w:hAnsi="楷体" w:cs="Calibri"/>
                <w:sz w:val="28"/>
                <w:szCs w:val="28"/>
              </w:rPr>
              <w:t>以2021年周口店猿人遗址第一地点发掘100周年为契机，以考古遗址公园和重要考古现场为依托，策划推出首届北京公众考古季，随后逐年开展，进一步增强公众对考古发掘研究的了解，促进文化遗产保护与利用。</w:t>
            </w:r>
          </w:p>
        </w:tc>
      </w:tr>
    </w:tbl>
    <w:p>
      <w:pPr>
        <w:ind w:firstLine="640"/>
      </w:pPr>
    </w:p>
    <w:p>
      <w:pPr>
        <w:pStyle w:val="6"/>
        <w:ind w:firstLine="643"/>
      </w:pPr>
      <w:bookmarkStart w:id="96" w:name="_Toc226115104_WPSOffice_Level2"/>
      <w:r>
        <w:rPr>
          <w:rFonts w:hint="eastAsia"/>
        </w:rPr>
        <w:t>（七）</w:t>
      </w:r>
      <w:bookmarkStart w:id="97" w:name="_Hlk81669864"/>
      <w:r>
        <w:rPr>
          <w:rFonts w:hint="eastAsia"/>
        </w:rPr>
        <w:t>推动国际文物艺术品交易中心</w:t>
      </w:r>
      <w:bookmarkEnd w:id="89"/>
      <w:r>
        <w:rPr>
          <w:rFonts w:hint="eastAsia"/>
        </w:rPr>
        <w:t>形成新动能</w:t>
      </w:r>
      <w:bookmarkEnd w:id="96"/>
      <w:bookmarkEnd w:id="97"/>
    </w:p>
    <w:bookmarkEnd w:id="90"/>
    <w:p>
      <w:pPr>
        <w:pStyle w:val="7"/>
        <w:ind w:firstLine="643"/>
        <w:rPr>
          <w:szCs w:val="32"/>
        </w:rPr>
      </w:pPr>
      <w:bookmarkStart w:id="98" w:name="_Toc43846322"/>
      <w:bookmarkEnd w:id="98"/>
      <w:r>
        <w:rPr>
          <w:rFonts w:hint="eastAsia"/>
          <w:szCs w:val="32"/>
        </w:rPr>
        <w:t>20</w:t>
      </w:r>
      <w:r>
        <w:rPr>
          <w:szCs w:val="32"/>
        </w:rPr>
        <w:t>.</w:t>
      </w:r>
      <w:r>
        <w:rPr>
          <w:rFonts w:hint="eastAsia"/>
          <w:szCs w:val="32"/>
        </w:rPr>
        <w:t>打造“北京指数”</w:t>
      </w:r>
    </w:p>
    <w:p>
      <w:pPr>
        <w:ind w:firstLine="640"/>
        <w:rPr>
          <w:rFonts w:ascii="仿宋_GB2312" w:hAnsi="仿宋_GB2312" w:cs="仿宋_GB2312"/>
          <w:szCs w:val="32"/>
        </w:rPr>
      </w:pPr>
      <w:r>
        <w:rPr>
          <w:rFonts w:hint="eastAsia" w:ascii="仿宋_GB2312" w:hAnsi="仿宋_GB2312" w:cs="仿宋_GB2312"/>
          <w:szCs w:val="32"/>
        </w:rPr>
        <w:t>建立文物艺术品交易大数据中心，探索建立“北京文物艺术品价格指数”。完善文物艺术品交易政策体系，打造“北京文物艺术品交易信息发布”品牌。加强中国文物艺术品地方标准的研究制定，积极参与国际文物艺术品交易规则和标准体系制定，提升北京在国际文物艺术品交易市场的话语权和影响力。扩大北京·中国国际文物博览会、惠民文物艺术品拍卖月等品牌活动影响力，传播“北京声音”，带动全国乃至全球的文物艺术品交易市场。</w:t>
      </w:r>
    </w:p>
    <w:p>
      <w:pPr>
        <w:ind w:firstLine="640"/>
      </w:pPr>
    </w:p>
    <w:p>
      <w:pPr>
        <w:pStyle w:val="7"/>
        <w:ind w:firstLine="643"/>
        <w:rPr>
          <w:szCs w:val="32"/>
        </w:rPr>
      </w:pPr>
      <w:r>
        <w:rPr>
          <w:rFonts w:hint="eastAsia"/>
          <w:szCs w:val="32"/>
        </w:rPr>
        <w:t>21.优化空间布局</w:t>
      </w:r>
    </w:p>
    <w:p>
      <w:pPr>
        <w:ind w:firstLine="640"/>
        <w:rPr>
          <w:rFonts w:ascii="仿宋_GB2312" w:hAnsi="仿宋_GB2312" w:cs="仿宋_GB2312"/>
          <w:szCs w:val="32"/>
        </w:rPr>
      </w:pPr>
      <w:r>
        <w:rPr>
          <w:rFonts w:hint="eastAsia" w:ascii="仿宋_GB2312" w:hAnsi="仿宋_GB2312" w:cs="仿宋_GB2312"/>
          <w:szCs w:val="32"/>
        </w:rPr>
        <w:t>提升琉璃厂、潘家园、十里河等文物艺术品交易传统区域的服务质量，支持隆福寺区域建设北京高端文物艺术品展示交易区。发挥“两区”建设政策优势，推动调整海外文物回流税收政策，推动顺义天竺综合保税区、北京自贸试验区高端产业片区大兴组团、朝阳金盏国际合作服务区建设海外文物回流的重要基地。支持国家对外文化贸易基地（北京）建设国际文物交流平台，将其打造成国际文物艺术品交流的重要窗口。推动懋隆文化产业创意园、首钢工业园区、张家湾设计小镇等，成为国际文物艺术品交易中心科技创新与产业发展的载体。探索创建文物艺术品展示交易特色文化产业园区，发展融合型业态，稳步推进文物艺术品衍生产业的发展。</w:t>
      </w:r>
    </w:p>
    <w:p>
      <w:pPr>
        <w:ind w:firstLine="640"/>
        <w:rPr>
          <w:rFonts w:ascii="仿宋_GB2312" w:hAnsi="仿宋_GB2312" w:cs="仿宋_GB2312"/>
          <w:szCs w:val="32"/>
        </w:rPr>
      </w:pPr>
      <w:r>
        <w:rPr>
          <w:rFonts w:hint="eastAsia" w:ascii="仿宋_GB2312" w:hAnsi="仿宋_GB2312" w:cs="仿宋_GB2312"/>
          <w:szCs w:val="32"/>
        </w:rPr>
        <w:t xml:space="preserve"> </w:t>
      </w:r>
    </w:p>
    <w:p>
      <w:pPr>
        <w:pStyle w:val="7"/>
        <w:ind w:firstLine="643"/>
        <w:rPr>
          <w:szCs w:val="32"/>
        </w:rPr>
      </w:pPr>
      <w:r>
        <w:rPr>
          <w:rFonts w:hint="eastAsia"/>
          <w:szCs w:val="32"/>
        </w:rPr>
        <w:t>22</w:t>
      </w:r>
      <w:r>
        <w:rPr>
          <w:szCs w:val="32"/>
        </w:rPr>
        <w:t>.</w:t>
      </w:r>
      <w:r>
        <w:rPr>
          <w:rFonts w:hint="eastAsia"/>
          <w:szCs w:val="32"/>
        </w:rPr>
        <w:t>健全流通体系</w:t>
      </w:r>
    </w:p>
    <w:p>
      <w:pPr>
        <w:ind w:firstLine="640"/>
        <w:rPr>
          <w:rFonts w:ascii="仿宋_GB2312" w:hAnsi="仿宋_GB2312" w:cs="仿宋_GB2312"/>
          <w:color w:val="FF0000"/>
          <w:szCs w:val="32"/>
        </w:rPr>
      </w:pPr>
      <w:bookmarkStart w:id="99" w:name="_Toc43846323"/>
      <w:bookmarkEnd w:id="99"/>
      <w:r>
        <w:rPr>
          <w:rFonts w:hint="eastAsia" w:ascii="仿宋_GB2312" w:hAnsi="仿宋_GB2312" w:cs="仿宋_GB2312"/>
          <w:szCs w:val="32"/>
        </w:rPr>
        <w:t>发挥文物商店一级市场主渠道作用，健全文物商店监管机制，规范古玩市场发展。支持北京保利、中国嘉德等文物拍卖企业提质增效、扩大规模，带动文物拍卖行业健康发展。创新审批和监管方式，支持网上文物艺术品交易。加强区块链等新技术新成果的运用，探索开展民间收藏文物登记交易工作。探索建立北京文物艺术品交易信用体系，推动其与文物艺术品经营企业市场准入挂钩机制。探索文物艺术品公益鉴定机制，指导做好文物认定工作，研究民间收藏发展规律，引导民间收藏行为。稳步做好文物鉴定经营活动的管理工作，指导做好涉案文物鉴定评估工作，完善罚没文物移交和处置机制。密切联系收藏家协会、拍卖行业协会等社会组织，发挥其在文物收藏、鉴定、交易等方面的积极作用。</w:t>
      </w:r>
    </w:p>
    <w:p>
      <w:pPr>
        <w:ind w:firstLine="640"/>
        <w:rPr>
          <w:rFonts w:ascii="仿宋_GB2312" w:hAnsi="仿宋_GB2312" w:cs="仿宋_GB2312"/>
          <w:kern w:val="0"/>
          <w:szCs w:val="32"/>
        </w:rPr>
      </w:pPr>
    </w:p>
    <w:p>
      <w:pPr>
        <w:pStyle w:val="7"/>
        <w:ind w:firstLine="643"/>
        <w:rPr>
          <w:szCs w:val="32"/>
        </w:rPr>
      </w:pPr>
      <w:bookmarkStart w:id="100" w:name="_Toc43846324"/>
      <w:bookmarkEnd w:id="100"/>
      <w:r>
        <w:rPr>
          <w:rFonts w:hint="eastAsia"/>
          <w:szCs w:val="32"/>
        </w:rPr>
        <w:t>23.加强平台建设</w:t>
      </w:r>
    </w:p>
    <w:p>
      <w:pPr>
        <w:spacing w:after="312" w:afterLines="100"/>
        <w:ind w:firstLine="640"/>
        <w:rPr>
          <w:rFonts w:ascii="仿宋_GB2312" w:hAnsi="仿宋_GB2312" w:cs="仿宋_GB2312"/>
          <w:szCs w:val="32"/>
        </w:rPr>
      </w:pPr>
      <w:r>
        <w:rPr>
          <w:rFonts w:hint="eastAsia" w:ascii="仿宋_GB2312" w:hAnsi="仿宋_GB2312" w:cs="仿宋_GB2312"/>
          <w:szCs w:val="32"/>
        </w:rPr>
        <w:t>支持易拍全球网、雅昌艺术网等文物艺术品网上交易平台做大做强并形成品牌，规范中小型文物艺术品交易网站及拍卖企业APP发展。建设文物艺术品鉴定、估值平台。支持文物艺术品报关、运输、仓储、交易一条龙一体化平台的发展，利用文物艺术品流通的重要基地，建设文物艺术品修复、展示平台，拓展海外相关业务。完善综合监管机制，构建文物、市场监管、海关、税务、商务等部门的信息共享平台。探索建立文物登记交易平台。积极发展文物艺术品金融市场业务，为文物艺术品交易在全国文化中心建设中发挥更大作用奠定基础。</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tcBorders>
              <w:top w:val="single" w:color="auto" w:sz="4" w:space="0"/>
              <w:left w:val="single" w:color="auto" w:sz="4" w:space="0"/>
              <w:bottom w:val="single" w:color="auto" w:sz="4" w:space="0"/>
              <w:right w:val="single" w:color="auto" w:sz="4" w:space="0"/>
            </w:tcBorders>
          </w:tcPr>
          <w:p>
            <w:pPr>
              <w:spacing w:line="520" w:lineRule="exact"/>
              <w:ind w:firstLine="0" w:firstLineChars="0"/>
              <w:jc w:val="center"/>
              <w:rPr>
                <w:rFonts w:ascii="黑体" w:hAnsi="黑体" w:eastAsia="黑体" w:cs="Calibri"/>
                <w:sz w:val="28"/>
                <w:szCs w:val="28"/>
              </w:rPr>
            </w:pPr>
            <w:r>
              <w:rPr>
                <w:rFonts w:hint="eastAsia" w:ascii="黑体" w:hAnsi="黑体" w:eastAsia="黑体" w:cs="Calibri"/>
                <w:sz w:val="28"/>
                <w:szCs w:val="28"/>
              </w:rPr>
              <w:t>专栏</w:t>
            </w:r>
            <w:r>
              <w:rPr>
                <w:rFonts w:hint="eastAsia" w:ascii="黑体" w:hAnsi="黑体" w:eastAsia="黑体" w:cs="Calibri"/>
                <w:sz w:val="28"/>
                <w:szCs w:val="28"/>
                <w:lang w:eastAsia="zh-CN"/>
              </w:rPr>
              <w:t>七</w:t>
            </w:r>
            <w:r>
              <w:rPr>
                <w:rFonts w:hint="eastAsia" w:ascii="黑体" w:hAnsi="黑体" w:eastAsia="黑体" w:cs="Calibri"/>
                <w:sz w:val="28"/>
                <w:szCs w:val="28"/>
              </w:rPr>
              <w:t>：</w:t>
            </w:r>
            <w:r>
              <w:rPr>
                <w:rFonts w:hint="eastAsia" w:ascii="黑体" w:hAnsi="黑体" w:eastAsia="黑体" w:cs="Calibri"/>
                <w:sz w:val="28"/>
                <w:szCs w:val="28"/>
                <w:lang w:eastAsia="zh-CN"/>
              </w:rPr>
              <w:t>国际</w:t>
            </w:r>
            <w:r>
              <w:rPr>
                <w:rFonts w:hint="eastAsia" w:ascii="黑体" w:hAnsi="黑体" w:eastAsia="黑体" w:cs="Calibri"/>
                <w:sz w:val="28"/>
                <w:szCs w:val="28"/>
              </w:rPr>
              <w:t>文物艺术品交易中心建设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tcBorders>
              <w:top w:val="single" w:color="auto" w:sz="4" w:space="0"/>
              <w:left w:val="single" w:color="auto" w:sz="4" w:space="0"/>
              <w:bottom w:val="single" w:color="auto" w:sz="4" w:space="0"/>
              <w:right w:val="single" w:color="auto" w:sz="4" w:space="0"/>
            </w:tcBorders>
          </w:tcPr>
          <w:p>
            <w:pPr>
              <w:spacing w:line="520" w:lineRule="exact"/>
              <w:ind w:firstLine="560"/>
              <w:rPr>
                <w:rFonts w:ascii="仿宋_GB2312" w:hAnsi="仿宋_GB2312" w:cs="仿宋_GB2312"/>
                <w:sz w:val="28"/>
                <w:szCs w:val="28"/>
              </w:rPr>
            </w:pPr>
            <w:r>
              <w:rPr>
                <w:rFonts w:hint="eastAsia" w:ascii="楷体_GB2312" w:hAnsi="楷体_GB2312" w:eastAsia="楷体_GB2312" w:cs="楷体_GB2312"/>
                <w:sz w:val="28"/>
                <w:szCs w:val="28"/>
              </w:rPr>
              <w:t>1.北京文物艺术品交易指数。</w:t>
            </w:r>
            <w:r>
              <w:rPr>
                <w:rFonts w:hint="eastAsia" w:ascii="仿宋_GB2312" w:hAnsi="仿宋_GB2312" w:cs="仿宋_GB2312"/>
                <w:sz w:val="28"/>
                <w:szCs w:val="28"/>
              </w:rPr>
              <w:t>通过采集北京地区中国文物艺术品市场的交易数据，以特征回归法等计算方法为支撑，形成综合指数体系，反映北京地区文物艺术品市场发展趋势，凸显北京对全球文物艺术品交易市场的影响力。</w:t>
            </w:r>
          </w:p>
          <w:p>
            <w:pPr>
              <w:spacing w:line="520" w:lineRule="exact"/>
              <w:ind w:firstLine="560"/>
              <w:rPr>
                <w:rFonts w:ascii="仿宋_GB2312" w:hAnsi="仿宋_GB2312" w:cs="仿宋_GB2312"/>
                <w:sz w:val="28"/>
                <w:szCs w:val="28"/>
              </w:rPr>
            </w:pPr>
            <w:r>
              <w:rPr>
                <w:rFonts w:hint="eastAsia" w:ascii="楷体_GB2312" w:hAnsi="楷体_GB2312" w:eastAsia="楷体_GB2312" w:cs="楷体_GB2312"/>
                <w:sz w:val="28"/>
                <w:szCs w:val="28"/>
              </w:rPr>
              <w:t>2.</w:t>
            </w:r>
            <w:r>
              <w:rPr>
                <w:rFonts w:hint="eastAsia" w:ascii="楷体_GB2312" w:hAnsi="楷体_GB2312" w:eastAsia="楷体_GB2312" w:cs="楷体_GB2312"/>
                <w:spacing w:val="-4"/>
                <w:sz w:val="28"/>
                <w:szCs w:val="28"/>
              </w:rPr>
              <w:t>北京·中国文物国际博览会。</w:t>
            </w:r>
            <w:r>
              <w:rPr>
                <w:rFonts w:hint="eastAsia" w:ascii="仿宋_GB2312" w:hAnsi="仿宋_GB2312" w:cs="仿宋_GB2312"/>
                <w:sz w:val="28"/>
                <w:szCs w:val="28"/>
              </w:rPr>
              <w:t>借助北京区位优势，邀请国内外文物艺术品收藏单位和经营单位，开展展览与交易活动，丰富大众生活、引导健康收藏理念，打造文物艺术品交易领域国际展会。</w:t>
            </w:r>
          </w:p>
          <w:p>
            <w:pPr>
              <w:spacing w:line="520" w:lineRule="exact"/>
              <w:ind w:firstLine="544"/>
              <w:rPr>
                <w:rFonts w:ascii="仿宋_GB2312" w:hAnsi="仿宋_GB2312" w:cs="仿宋_GB2312"/>
                <w:sz w:val="28"/>
                <w:szCs w:val="28"/>
              </w:rPr>
            </w:pPr>
            <w:r>
              <w:rPr>
                <w:rFonts w:hint="eastAsia" w:ascii="楷体_GB2312" w:hAnsi="楷体_GB2312" w:eastAsia="楷体_GB2312" w:cs="楷体_GB2312"/>
                <w:spacing w:val="-4"/>
                <w:sz w:val="28"/>
                <w:szCs w:val="28"/>
              </w:rPr>
              <w:t xml:space="preserve">3.全球文物艺术品交易大数据中心。 </w:t>
            </w:r>
            <w:r>
              <w:rPr>
                <w:rFonts w:hint="eastAsia" w:ascii="仿宋_GB2312" w:hAnsi="仿宋_GB2312" w:cs="仿宋_GB2312"/>
                <w:sz w:val="28"/>
                <w:szCs w:val="28"/>
              </w:rPr>
              <w:t>整合首都高等院校、文博机构、拍卖企业等优势资源, 搭建以中国文物艺术品为主的行业信息大数据平台, 为北京文物艺术品市场健康发展提供有力支撑。</w:t>
            </w:r>
          </w:p>
          <w:p>
            <w:pPr>
              <w:adjustRightInd w:val="0"/>
              <w:snapToGrid w:val="0"/>
              <w:spacing w:line="520" w:lineRule="exact"/>
              <w:ind w:firstLine="544"/>
              <w:rPr>
                <w:rFonts w:ascii="仿宋_GB2312" w:hAnsi="楷体" w:cs="Calibri"/>
                <w:sz w:val="28"/>
                <w:szCs w:val="28"/>
              </w:rPr>
            </w:pPr>
            <w:r>
              <w:rPr>
                <w:rFonts w:hint="eastAsia" w:ascii="楷体_GB2312" w:hAnsi="楷体_GB2312" w:eastAsia="楷体_GB2312" w:cs="楷体_GB2312"/>
                <w:spacing w:val="-4"/>
                <w:sz w:val="28"/>
                <w:szCs w:val="28"/>
              </w:rPr>
              <w:t>4.文物艺术品国际标准。</w:t>
            </w:r>
            <w:r>
              <w:rPr>
                <w:rFonts w:hint="eastAsia" w:ascii="仿宋_GB2312" w:hAnsi="仿宋_GB2312" w:cs="仿宋_GB2312"/>
                <w:sz w:val="28"/>
                <w:szCs w:val="28"/>
              </w:rPr>
              <w:t>支持制定国际电信联盟（ITU）的“基于区块链技术的文物艺术品追溯系统元数据”“文物艺术品图像识别系统参考架构”两项国际标准。</w:t>
            </w:r>
          </w:p>
        </w:tc>
      </w:tr>
    </w:tbl>
    <w:p>
      <w:pPr>
        <w:ind w:firstLine="640"/>
      </w:pPr>
    </w:p>
    <w:p>
      <w:pPr>
        <w:pStyle w:val="6"/>
        <w:ind w:firstLine="643"/>
      </w:pPr>
      <w:bookmarkStart w:id="101" w:name="_Toc473984023_WPSOffice_Level2"/>
      <w:bookmarkStart w:id="102" w:name="_Toc2094750881_WPSOffice_Level2"/>
      <w:bookmarkStart w:id="103" w:name="_Toc1101161956_WPSOffice_Level2"/>
      <w:r>
        <w:rPr>
          <w:rFonts w:hint="eastAsia"/>
        </w:rPr>
        <w:t>（八）</w:t>
      </w:r>
      <w:bookmarkEnd w:id="101"/>
      <w:bookmarkEnd w:id="102"/>
      <w:bookmarkStart w:id="104" w:name="_Hlk81669889"/>
      <w:r>
        <w:rPr>
          <w:rFonts w:hint="eastAsia"/>
        </w:rPr>
        <w:t>推动文物治理体系和治理能力建设得到新提升</w:t>
      </w:r>
      <w:bookmarkEnd w:id="103"/>
      <w:bookmarkEnd w:id="104"/>
    </w:p>
    <w:p>
      <w:pPr>
        <w:pStyle w:val="7"/>
        <w:ind w:firstLine="643"/>
        <w:rPr>
          <w:szCs w:val="32"/>
        </w:rPr>
      </w:pPr>
      <w:r>
        <w:rPr>
          <w:szCs w:val="32"/>
        </w:rPr>
        <w:t>2</w:t>
      </w:r>
      <w:r>
        <w:rPr>
          <w:rFonts w:hint="eastAsia"/>
          <w:szCs w:val="32"/>
        </w:rPr>
        <w:t>4.完善文物管理机制</w:t>
      </w:r>
    </w:p>
    <w:p>
      <w:pPr>
        <w:ind w:firstLine="640"/>
        <w:rPr>
          <w:rFonts w:ascii="仿宋_GB2312" w:hAnsi="仿宋_GB2312" w:cs="仿宋_GB2312"/>
          <w:szCs w:val="32"/>
        </w:rPr>
      </w:pPr>
      <w:r>
        <w:rPr>
          <w:rFonts w:hint="eastAsia" w:ascii="仿宋_GB2312" w:hAnsi="仿宋_GB2312" w:cs="仿宋_GB2312"/>
          <w:szCs w:val="32"/>
        </w:rPr>
        <w:t>深化文物领域“放管服”改革，简化审批事项、下放审批权限、优化审批流程，推进政务服务事项告知承诺制，完善“双随机一公开”检查机制，强化事中事后监管，持续优化营商环境。探索建立不可移动文物保护与国土空间规划管理的协调机制，</w:t>
      </w:r>
      <w:bookmarkStart w:id="105" w:name="_Hlk14946090"/>
      <w:r>
        <w:rPr>
          <w:rFonts w:hint="eastAsia" w:ascii="仿宋_GB2312" w:hAnsi="仿宋_GB2312" w:cs="仿宋_GB2312"/>
          <w:szCs w:val="32"/>
        </w:rPr>
        <w:t>加快与“多规合一”协同平台的融合</w:t>
      </w:r>
      <w:bookmarkEnd w:id="105"/>
      <w:r>
        <w:rPr>
          <w:rFonts w:hint="eastAsia" w:ascii="仿宋_GB2312" w:hAnsi="仿宋_GB2312" w:cs="仿宋_GB2312"/>
          <w:szCs w:val="32"/>
        </w:rPr>
        <w:t>。</w:t>
      </w:r>
      <w:r>
        <w:rPr>
          <w:rFonts w:hint="eastAsia"/>
        </w:rPr>
        <w:t>深化“考古前置”要求，完善考古管理配套制度。巩固北京经济技术开发区基本建设考古管理赋权试点成果，重点选取基础好、需求高的区域，研究进一步推广试点经验。</w:t>
      </w:r>
      <w:r>
        <w:rPr>
          <w:rFonts w:hint="eastAsia" w:ascii="仿宋_GB2312" w:hAnsi="仿宋_GB2312" w:cs="仿宋_GB2312"/>
          <w:szCs w:val="32"/>
        </w:rPr>
        <w:t>健全世界文化遗产监测体系，推进天坛、颐和园、十三陵等遗产地履行申遗承诺。建立市、区两级不可移动文物价值评估机制。</w:t>
      </w:r>
    </w:p>
    <w:p>
      <w:pPr>
        <w:ind w:firstLine="640"/>
        <w:rPr>
          <w:rFonts w:ascii="仿宋_GB2312" w:hAnsi="仿宋_GB2312" w:cs="仿宋_GB2312"/>
          <w:szCs w:val="32"/>
        </w:rPr>
      </w:pPr>
    </w:p>
    <w:p>
      <w:pPr>
        <w:pStyle w:val="7"/>
        <w:ind w:firstLine="643"/>
        <w:rPr>
          <w:szCs w:val="32"/>
        </w:rPr>
      </w:pPr>
      <w:r>
        <w:rPr>
          <w:rFonts w:hint="eastAsia"/>
          <w:szCs w:val="32"/>
        </w:rPr>
        <w:t>25.强化文物资源管理</w:t>
      </w:r>
    </w:p>
    <w:p>
      <w:pPr>
        <w:ind w:firstLine="640"/>
        <w:rPr>
          <w:rFonts w:ascii="仿宋_GB2312" w:hAnsi="仿宋_GB2312" w:cs="仿宋_GB2312"/>
          <w:szCs w:val="32"/>
        </w:rPr>
      </w:pPr>
      <w:r>
        <w:rPr>
          <w:rFonts w:hint="eastAsia" w:ascii="仿宋_GB2312" w:hAnsi="仿宋_GB2312" w:cs="仿宋_GB2312"/>
          <w:szCs w:val="32"/>
        </w:rPr>
        <w:t>健全文物资源资产管理机制，完善文物登录制度。</w:t>
      </w:r>
      <w:r>
        <w:rPr>
          <w:rFonts w:hint="eastAsia" w:ascii="仿宋_GB2312" w:hAnsi="仿宋_GB2312" w:cs="仿宋_GB2312"/>
          <w:color w:val="000000"/>
          <w:szCs w:val="32"/>
        </w:rPr>
        <w:t>实施文博大数据平台建设工程，推进文博大数据平台资源体系规划和建设，形成全市文物资源大数据库，实现基础数据汇聚共享。</w:t>
      </w:r>
      <w:r>
        <w:rPr>
          <w:rFonts w:hint="eastAsia" w:ascii="仿宋_GB2312" w:hAnsi="仿宋_GB2312" w:cs="仿宋_GB2312"/>
          <w:szCs w:val="32"/>
        </w:rPr>
        <w:t>核定公布第九批北京市文物保护单位，完成第九批全国重点文物保护单位申报，完成第三次全国文物普查信息复核。新划定一批市级地下文物监测区、地下文物埋藏区。提升文物保护单位“四有”工作完成率。开展一批重点文物保护单位保护规划编制工作，完成市级以上文物保护单位保护范围和建设控制地带划定并逐年推进修订。</w:t>
      </w:r>
    </w:p>
    <w:p>
      <w:pPr>
        <w:ind w:firstLine="640"/>
      </w:pPr>
    </w:p>
    <w:p>
      <w:pPr>
        <w:pStyle w:val="7"/>
        <w:ind w:firstLine="643"/>
        <w:rPr>
          <w:szCs w:val="32"/>
        </w:rPr>
      </w:pPr>
      <w:r>
        <w:rPr>
          <w:rFonts w:hint="eastAsia"/>
          <w:szCs w:val="32"/>
        </w:rPr>
        <w:t>26.优化文物安全长效机制</w:t>
      </w:r>
    </w:p>
    <w:p>
      <w:pPr>
        <w:ind w:firstLine="640"/>
        <w:rPr>
          <w:rFonts w:ascii="仿宋_GB2312" w:hAnsi="仿宋_GB2312" w:cs="仿宋_GB2312"/>
          <w:color w:val="000000"/>
          <w:szCs w:val="32"/>
        </w:rPr>
      </w:pPr>
      <w:r>
        <w:rPr>
          <w:rFonts w:hint="eastAsia" w:ascii="仿宋_GB2312" w:hAnsi="仿宋_GB2312" w:cs="仿宋_GB2312"/>
          <w:color w:val="000000"/>
          <w:szCs w:val="32"/>
        </w:rPr>
        <w:t>落实文物安全主体责任，构建文物安全工作部门联席会议制度，完善联合打击防范文物犯罪长效机制，探索建立文物督察机制，实行文物安全直接责任人公告制度。推进全市文博系统火灾隐患整治消防能力提升三年行动，修订文博单位消防安全标准化管理规定，推广</w:t>
      </w:r>
      <w:r>
        <w:rPr>
          <w:rFonts w:hint="eastAsia" w:ascii="仿宋_GB2312" w:hAnsi="仿宋_GB2312" w:cs="仿宋_GB2312"/>
          <w:szCs w:val="32"/>
        </w:rPr>
        <w:t>全市重点</w:t>
      </w:r>
      <w:r>
        <w:rPr>
          <w:rFonts w:hint="eastAsia" w:ascii="仿宋_GB2312" w:hAnsi="仿宋_GB2312" w:cs="仿宋_GB2312"/>
          <w:color w:val="000000"/>
          <w:szCs w:val="32"/>
        </w:rPr>
        <w:t>文物保护单位微型消防站（点）标准化建设。推进文物平安工程，坚持“科技创安”，建设市级文物安全监管平台，加大智能装备在安全监管和检查巡查中的应用，加强安全保卫队伍专业化建设，提高文博单位安全防范水平。</w:t>
      </w:r>
    </w:p>
    <w:p>
      <w:pPr>
        <w:ind w:firstLine="640"/>
        <w:rPr>
          <w:rFonts w:ascii="仿宋_GB2312" w:hAnsi="仿宋_GB2312" w:cs="仿宋_GB2312"/>
          <w:color w:val="FF0000"/>
          <w:szCs w:val="32"/>
        </w:rPr>
      </w:pPr>
      <w:r>
        <w:rPr>
          <w:rFonts w:hint="eastAsia" w:ascii="仿宋_GB2312" w:hAnsi="仿宋_GB2312" w:cs="仿宋_GB2312"/>
          <w:color w:val="FF0000"/>
          <w:szCs w:val="32"/>
        </w:rPr>
        <w:t xml:space="preserve"> </w:t>
      </w:r>
    </w:p>
    <w:p>
      <w:pPr>
        <w:pStyle w:val="7"/>
        <w:ind w:firstLine="643"/>
        <w:rPr>
          <w:szCs w:val="32"/>
        </w:rPr>
      </w:pPr>
      <w:r>
        <w:rPr>
          <w:rFonts w:hint="eastAsia"/>
          <w:szCs w:val="32"/>
        </w:rPr>
        <w:t>27.服务国际交往中心建设</w:t>
      </w:r>
    </w:p>
    <w:p>
      <w:pPr>
        <w:ind w:firstLine="640"/>
        <w:rPr>
          <w:rFonts w:ascii="仿宋_GB2312" w:hAnsi="仿宋_GB2312" w:cs="仿宋_GB2312"/>
          <w:szCs w:val="32"/>
        </w:rPr>
      </w:pPr>
      <w:r>
        <w:rPr>
          <w:rFonts w:hint="eastAsia" w:ascii="仿宋_GB2312" w:hAnsi="仿宋_GB2312" w:cs="仿宋_GB2312"/>
          <w:szCs w:val="32"/>
        </w:rPr>
        <w:t>落实亚洲文化遗产保护行动，联合国家文物局积极承办相关国际会议。配合重大国事活动及高层访问，做好文物出入境展览服务保障。围绕“一带一路”建设、亚洲文明对话等主题，策划推出一批展现中国文化自信和首都文化魅力的高水平展览。以“数字圆明园”展览为重点，加强中国和希腊两国在“文化遗产+体育+科技”交叉领域的交流合作。不断扩大北京地区博物馆国际朋友圈，用好国际友馆资源，在展览互换、学术研究和人才培养等方面加强交流合作。深化中日韩首都城市博物馆论坛机制，广泛参与文物领域多边交流和国际合作，举办世界文明主题展览。以大运河博物馆（首都博物馆东馆）落成为契机，不断提高首都博物馆国际交往能力。扩大北京孔庙国子监国学文化节、北京白塔寺中尼文化节等节展活动国际影响力。深入挖掘贝家花园、五塔寺等涉及中外文化交流的重要文物历史文化内涵，以文化遗产为桥梁，增进中国与世界各国友谊。加强北京中轴线对外宣传和活动策划，精心打造北京中轴线申遗保护国际学术活动品牌，积极参与国际学术交流，加强与国际古迹遗址理事会、国际博物馆协会等国际组织及国外专家学者合作，深入交流文物保护理念、技术和世界文化遗产管理监测，广泛传播北京文化遗产价值，讲好北京故事，传递中国声音。</w:t>
      </w:r>
    </w:p>
    <w:p>
      <w:pPr>
        <w:ind w:firstLine="640"/>
        <w:rPr>
          <w:rFonts w:ascii="仿宋_GB2312" w:hAnsi="仿宋_GB2312" w:cs="仿宋_GB2312"/>
          <w:szCs w:val="32"/>
        </w:rPr>
      </w:pPr>
      <w:r>
        <w:rPr>
          <w:rFonts w:hint="eastAsia"/>
          <w:szCs w:val="32"/>
        </w:rPr>
        <w:t xml:space="preserve"> </w:t>
      </w:r>
    </w:p>
    <w:p>
      <w:pPr>
        <w:pStyle w:val="7"/>
        <w:ind w:firstLine="643"/>
        <w:rPr>
          <w:szCs w:val="32"/>
        </w:rPr>
      </w:pPr>
      <w:r>
        <w:rPr>
          <w:rFonts w:hint="eastAsia"/>
          <w:szCs w:val="32"/>
        </w:rPr>
        <w:t>28.健全社会参与机制</w:t>
      </w:r>
    </w:p>
    <w:p>
      <w:pPr>
        <w:ind w:firstLine="640"/>
        <w:rPr>
          <w:rFonts w:ascii="仿宋_GB2312" w:hAnsi="仿宋_GB2312" w:cs="仿宋_GB2312"/>
          <w:szCs w:val="32"/>
        </w:rPr>
      </w:pPr>
      <w:r>
        <w:rPr>
          <w:rFonts w:hint="eastAsia" w:ascii="仿宋_GB2312" w:hAnsi="仿宋_GB2312" w:cs="仿宋_GB2312"/>
          <w:szCs w:val="32"/>
        </w:rPr>
        <w:t>探索多方参与、多元投资的文物保护参与机制。及时调整政府购买服务目录，鼓励更多企业进入文化遗产保护利用领域，提供优质文化产品和文化服务。发挥高校、文化企业以及行业协会、学会、基金会等社会组织的资源优势，通过课题合作、项目资助、技术咨询、人才培养等方式，提升行业管理和学术研究水平，助力文博领域重点工作。培育壮大北京文物保护志愿者队伍，完善培训和激励机制，加强志愿者先进事迹宣传，打造志愿服务品牌。</w:t>
      </w:r>
    </w:p>
    <w:p>
      <w:pPr>
        <w:ind w:firstLine="198" w:firstLineChars="62"/>
        <w:rPr>
          <w:rFonts w:ascii="仿宋_GB2312" w:hAnsi="仿宋_GB2312" w:cs="仿宋_GB2312"/>
          <w:color w:val="FF0000"/>
          <w:szCs w:val="32"/>
        </w:rPr>
      </w:pPr>
    </w:p>
    <w:p>
      <w:pPr>
        <w:pStyle w:val="7"/>
        <w:ind w:firstLine="643"/>
        <w:rPr>
          <w:szCs w:val="32"/>
        </w:rPr>
      </w:pPr>
      <w:r>
        <w:rPr>
          <w:rFonts w:hint="eastAsia"/>
          <w:szCs w:val="32"/>
        </w:rPr>
        <w:t>29.加大文物科技应用</w:t>
      </w:r>
    </w:p>
    <w:p>
      <w:pPr>
        <w:ind w:firstLine="640"/>
        <w:rPr>
          <w:rFonts w:ascii="仿宋_GB2312" w:hAnsi="仿宋_GB2312" w:cs="仿宋_GB2312"/>
          <w:color w:val="000000"/>
          <w:szCs w:val="32"/>
        </w:rPr>
      </w:pPr>
      <w:r>
        <w:rPr>
          <w:rFonts w:hint="eastAsia" w:ascii="仿宋_GB2312" w:hAnsi="仿宋_GB2312" w:cs="仿宋_GB2312"/>
          <w:color w:val="000000"/>
          <w:szCs w:val="32"/>
        </w:rPr>
        <w:t>创新科研工作机制，编制文博领域高新科技应用纲要，持续开展“北京市文物局学术科研月”活动，加强与在京高校和科研机构的交流合作，全面推进北京市</w:t>
      </w:r>
      <w:r>
        <w:rPr>
          <w:rFonts w:hint="eastAsia" w:ascii="仿宋_GB2312" w:hAnsi="仿宋_GB2312" w:cs="仿宋_GB2312"/>
          <w:szCs w:val="32"/>
        </w:rPr>
        <w:t>文物保护科研机构建设。发挥好学术带头人作用，增强重大科研课题培育能力，构建北京特色文博科研体系，带动市级文博单位科研水平快速提升。实施标准化战略，促进“文物保护+标准化+科技创新”行动，完成8-10件</w:t>
      </w:r>
      <w:r>
        <w:rPr>
          <w:rFonts w:hint="eastAsia" w:ascii="仿宋_GB2312" w:hAnsi="仿宋_GB2312" w:cs="仿宋_GB2312"/>
          <w:szCs w:val="32"/>
          <w:lang w:eastAsia="zh-CN"/>
        </w:rPr>
        <w:t>急</w:t>
      </w:r>
      <w:r>
        <w:rPr>
          <w:rFonts w:hint="eastAsia" w:ascii="仿宋_GB2312" w:hAnsi="仿宋_GB2312" w:cs="仿宋_GB2312"/>
          <w:szCs w:val="32"/>
        </w:rPr>
        <w:t>需领域地方标准制</w:t>
      </w:r>
      <w:r>
        <w:rPr>
          <w:rFonts w:hint="eastAsia" w:ascii="仿宋_GB2312" w:hAnsi="仿宋_GB2312" w:cs="仿宋_GB2312"/>
          <w:szCs w:val="32"/>
          <w:lang w:eastAsia="zh-CN"/>
        </w:rPr>
        <w:t>定</w:t>
      </w:r>
      <w:r>
        <w:rPr>
          <w:rFonts w:hint="eastAsia" w:ascii="仿宋_GB2312" w:hAnsi="仿宋_GB2312" w:cs="仿宋_GB2312"/>
          <w:szCs w:val="32"/>
        </w:rPr>
        <w:t>修订工作。推进考古发掘、文物结构安全检测与监测、文物修复与鉴定等领域的关键技术</w:t>
      </w:r>
      <w:r>
        <w:rPr>
          <w:rFonts w:hint="eastAsia" w:ascii="仿宋_GB2312" w:hAnsi="仿宋_GB2312" w:cs="仿宋_GB2312"/>
          <w:color w:val="000000"/>
          <w:szCs w:val="32"/>
        </w:rPr>
        <w:t>研发和应用，实现文物保护技术、装备、管理和服务升级。</w:t>
      </w:r>
    </w:p>
    <w:p>
      <w:pPr>
        <w:ind w:firstLine="640"/>
        <w:rPr>
          <w:rFonts w:ascii="仿宋_GB2312" w:hAnsi="仿宋_GB2312" w:cs="仿宋_GB2312"/>
          <w:color w:val="000000"/>
          <w:szCs w:val="32"/>
        </w:rPr>
      </w:pPr>
    </w:p>
    <w:p>
      <w:pPr>
        <w:pStyle w:val="7"/>
        <w:ind w:firstLine="643"/>
        <w:rPr>
          <w:szCs w:val="32"/>
        </w:rPr>
      </w:pPr>
      <w:r>
        <w:rPr>
          <w:rFonts w:hint="eastAsia"/>
          <w:szCs w:val="32"/>
        </w:rPr>
        <w:t>30.建强文物机构和人才队伍</w:t>
      </w:r>
    </w:p>
    <w:p>
      <w:pPr>
        <w:spacing w:after="312" w:afterLines="100"/>
        <w:ind w:firstLine="640"/>
        <w:rPr>
          <w:rFonts w:ascii="仿宋_GB2312" w:hAnsi="仿宋_GB2312" w:cs="仿宋_GB2312"/>
          <w:color w:val="FF0000"/>
          <w:szCs w:val="32"/>
        </w:rPr>
      </w:pPr>
      <w:r>
        <w:rPr>
          <w:rFonts w:hint="eastAsia" w:ascii="仿宋_GB2312" w:hAnsi="仿宋_GB2312" w:cs="仿宋_GB2312"/>
          <w:szCs w:val="32"/>
        </w:rPr>
        <w:t>加强市、区两级文物管理部门和研究机构力量。全面加强文博人才队伍整体建设，完善人才工作机制，优化人才发展环境，着力打造一支高素质专业化、适应新时代首都文博工作高质量发展的人才队伍。深入落实“新时代文物人才建设工程”，实施“四三二一”战略措施。以首都高校、科研院所、党校行政机构、行业协会等社会各方资源为依托，持续加强文博人才分层次、分类别、分专业培养，建立一批文博人才培养共建基地。以能力建设为核心，强化专业培训，举办“文博名家课堂”，面向全市文博人才开展考古、博物馆等重点专业培训，提高专业化水平。加大文博人才培养投入力度，健全文博人才引进、评价、使用、激励机制，构建文博高级人才库。完善人才招聘条件，拓宽引才渠道，深化文博系列职称制度改革，完善专业技术人才评价机制，打通各类人才内部转岗通道。</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8" w:type="dxa"/>
            <w:tcBorders>
              <w:top w:val="single" w:color="auto" w:sz="4" w:space="0"/>
              <w:left w:val="single" w:color="auto" w:sz="4" w:space="0"/>
              <w:bottom w:val="single" w:color="auto" w:sz="4" w:space="0"/>
              <w:right w:val="single" w:color="auto" w:sz="4" w:space="0"/>
            </w:tcBorders>
          </w:tcPr>
          <w:p>
            <w:pPr>
              <w:spacing w:line="520" w:lineRule="exact"/>
              <w:ind w:firstLine="0" w:firstLineChars="0"/>
              <w:jc w:val="center"/>
              <w:rPr>
                <w:rFonts w:ascii="黑体" w:hAnsi="黑体" w:eastAsia="黑体" w:cs="Calibri"/>
                <w:sz w:val="28"/>
                <w:szCs w:val="28"/>
              </w:rPr>
            </w:pPr>
            <w:r>
              <w:rPr>
                <w:rFonts w:hint="eastAsia" w:ascii="黑体" w:hAnsi="黑体" w:eastAsia="黑体" w:cs="Calibri"/>
                <w:sz w:val="28"/>
                <w:szCs w:val="28"/>
              </w:rPr>
              <w:t>专栏</w:t>
            </w:r>
            <w:r>
              <w:rPr>
                <w:rFonts w:hint="eastAsia" w:ascii="黑体" w:hAnsi="黑体" w:eastAsia="黑体"/>
                <w:sz w:val="28"/>
                <w:szCs w:val="28"/>
                <w:lang w:eastAsia="zh-CN"/>
              </w:rPr>
              <w:t>八</w:t>
            </w:r>
            <w:r>
              <w:rPr>
                <w:rFonts w:hint="eastAsia" w:ascii="黑体" w:hAnsi="黑体" w:eastAsia="黑体"/>
                <w:sz w:val="28"/>
                <w:szCs w:val="28"/>
              </w:rPr>
              <w:t>：文物治理体系和治理能力提升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8" w:type="dxa"/>
            <w:tcBorders>
              <w:top w:val="single" w:color="auto" w:sz="4" w:space="0"/>
              <w:left w:val="single" w:color="auto" w:sz="4" w:space="0"/>
              <w:bottom w:val="single" w:color="auto" w:sz="4" w:space="0"/>
              <w:right w:val="single" w:color="auto" w:sz="4" w:space="0"/>
            </w:tcBorders>
          </w:tcPr>
          <w:p>
            <w:pPr>
              <w:spacing w:line="520" w:lineRule="exact"/>
              <w:ind w:firstLine="544"/>
              <w:rPr>
                <w:rFonts w:ascii="仿宋_GB2312"/>
                <w:sz w:val="28"/>
                <w:szCs w:val="28"/>
              </w:rPr>
            </w:pPr>
            <w:r>
              <w:rPr>
                <w:rFonts w:hint="eastAsia" w:ascii="楷体_GB2312" w:hAnsi="楷体_GB2312" w:eastAsia="楷体_GB2312" w:cs="楷体_GB2312"/>
                <w:spacing w:val="-4"/>
                <w:sz w:val="28"/>
                <w:szCs w:val="28"/>
              </w:rPr>
              <w:t>1.火灾隐患整治和消防能力提升计划。</w:t>
            </w:r>
            <w:r>
              <w:rPr>
                <w:rFonts w:hint="eastAsia" w:ascii="仿宋_GB2312" w:hAnsi="仿宋_GB2312" w:cs="仿宋_GB2312"/>
                <w:sz w:val="28"/>
                <w:szCs w:val="28"/>
              </w:rPr>
              <w:t>完成文博系统火灾隐患整治消防能力提升三年行动工作任务，挂牌督办火灾隐患重点文物单位，推广文物单位微型消防站（点）标准化建设。</w:t>
            </w:r>
          </w:p>
          <w:p>
            <w:pPr>
              <w:spacing w:line="520" w:lineRule="exact"/>
              <w:ind w:firstLine="544"/>
              <w:rPr>
                <w:rFonts w:ascii="仿宋_GB2312" w:hAnsi="仿宋_GB2312" w:cs="仿宋_GB2312"/>
                <w:sz w:val="28"/>
                <w:szCs w:val="28"/>
              </w:rPr>
            </w:pPr>
            <w:r>
              <w:rPr>
                <w:rFonts w:hint="eastAsia" w:ascii="楷体_GB2312" w:hAnsi="楷体_GB2312" w:eastAsia="楷体_GB2312" w:cs="楷体_GB2312"/>
                <w:spacing w:val="-4"/>
                <w:sz w:val="28"/>
                <w:szCs w:val="28"/>
              </w:rPr>
              <w:t>2.文物安全监管平台建设工程。</w:t>
            </w:r>
            <w:r>
              <w:rPr>
                <w:rFonts w:hint="eastAsia" w:ascii="仿宋_GB2312" w:hAnsi="仿宋_GB2312" w:cs="仿宋_GB2312"/>
                <w:sz w:val="28"/>
                <w:szCs w:val="28"/>
              </w:rPr>
              <w:t>以文物、博物馆单位为监管对象，以安全风险防控和安全管理工作为监管内容，以远程信息管理系统为主要监管方式，建设完成两个信息化网络、两项支撑体系、一个应用系统、一个管理团队，形成纵横贯通、融合共享、高效联动的文物安全监管信息化体系。</w:t>
            </w:r>
          </w:p>
          <w:p>
            <w:pPr>
              <w:spacing w:line="520" w:lineRule="exact"/>
              <w:ind w:firstLine="544"/>
              <w:rPr>
                <w:rFonts w:ascii="仿宋_GB2312" w:hAnsi="仿宋_GB2312" w:cs="仿宋_GB2312"/>
                <w:sz w:val="28"/>
                <w:szCs w:val="28"/>
              </w:rPr>
            </w:pPr>
            <w:r>
              <w:rPr>
                <w:rFonts w:hint="eastAsia" w:ascii="楷体_GB2312" w:hAnsi="楷体_GB2312" w:eastAsia="楷体_GB2312" w:cs="楷体_GB2312"/>
                <w:spacing w:val="-4"/>
                <w:sz w:val="28"/>
                <w:szCs w:val="28"/>
              </w:rPr>
              <w:t>3.文博大数据平台建设工程。</w:t>
            </w:r>
            <w:r>
              <w:rPr>
                <w:rFonts w:hint="eastAsia" w:ascii="仿宋_GB2312" w:hAnsi="仿宋_GB2312" w:cs="仿宋_GB2312"/>
                <w:sz w:val="28"/>
                <w:szCs w:val="28"/>
              </w:rPr>
              <w:t>推进北京地区博物馆大数据平台建设，提升文献古籍档案大数据平台，完成北京市考古综合管理平台一期建设并启动二期研发工作，启用不可移动文物保护大数据平台，启动文物市场大数据平台建设前期工作。</w:t>
            </w:r>
          </w:p>
          <w:p>
            <w:pPr>
              <w:spacing w:line="520" w:lineRule="exact"/>
              <w:ind w:firstLine="544"/>
              <w:rPr>
                <w:rFonts w:ascii="仿宋_GB2312" w:hAnsi="仿宋_GB2312" w:cs="仿宋_GB2312"/>
                <w:color w:val="FF0000"/>
                <w:spacing w:val="-4"/>
                <w:sz w:val="28"/>
                <w:szCs w:val="28"/>
              </w:rPr>
            </w:pPr>
            <w:r>
              <w:rPr>
                <w:rFonts w:hint="eastAsia" w:ascii="楷体_GB2312" w:hAnsi="楷体_GB2312" w:eastAsia="楷体_GB2312" w:cs="楷体_GB2312"/>
                <w:spacing w:val="-4"/>
                <w:sz w:val="28"/>
                <w:szCs w:val="28"/>
              </w:rPr>
              <w:t>4.中日韩博物馆国际学术研讨活动。</w:t>
            </w:r>
            <w:r>
              <w:rPr>
                <w:rFonts w:hint="eastAsia" w:ascii="仿宋_GB2312" w:hAnsi="仿宋_GB2312" w:cs="仿宋_GB2312"/>
                <w:spacing w:val="-4"/>
                <w:sz w:val="28"/>
                <w:szCs w:val="28"/>
              </w:rPr>
              <w:t>深化首都博物馆与日本江户东京博物馆、韩国首尔历史博物馆论坛机制，扩大合作博物馆范围，加强博物馆国际学术交流，提升中、日、韩三国博物馆界合作深度与质量，更好地丰富城市博物馆的内涵与外延。</w:t>
            </w:r>
          </w:p>
          <w:p>
            <w:pPr>
              <w:spacing w:line="520" w:lineRule="exact"/>
              <w:ind w:firstLine="544"/>
              <w:rPr>
                <w:rFonts w:ascii="仿宋_GB2312"/>
                <w:spacing w:val="-4"/>
                <w:sz w:val="28"/>
                <w:szCs w:val="28"/>
              </w:rPr>
            </w:pPr>
            <w:r>
              <w:rPr>
                <w:rFonts w:hint="eastAsia" w:ascii="楷体_GB2312" w:hAnsi="楷体_GB2312" w:eastAsia="楷体_GB2312" w:cs="楷体_GB2312"/>
                <w:spacing w:val="-4"/>
                <w:sz w:val="28"/>
                <w:szCs w:val="28"/>
              </w:rPr>
              <w:t>5.北京孔庙国子监国学文化节。</w:t>
            </w:r>
            <w:r>
              <w:rPr>
                <w:rFonts w:hint="eastAsia" w:ascii="仿宋_GB2312" w:hAnsi="仿宋_GB2312" w:cs="仿宋_GB2312"/>
                <w:spacing w:val="-4"/>
                <w:sz w:val="28"/>
                <w:szCs w:val="28"/>
              </w:rPr>
              <w:t>以儒家文化重要载体“孔庙”为桥梁，立足北京、辐射全国、连接世界，通过国学展览、国学讲座、国学体验、国学传播等各类文化活动，向世界各国人民展示以儒家思想为内核的中华优秀传统文化。</w:t>
            </w:r>
          </w:p>
          <w:p>
            <w:pPr>
              <w:spacing w:line="520" w:lineRule="exact"/>
              <w:ind w:firstLine="544"/>
              <w:rPr>
                <w:rFonts w:ascii="仿宋_GB2312" w:hAnsi="仿宋_GB2312" w:cs="仿宋_GB2312"/>
                <w:spacing w:val="-4"/>
                <w:sz w:val="28"/>
                <w:szCs w:val="28"/>
              </w:rPr>
            </w:pPr>
            <w:r>
              <w:rPr>
                <w:rFonts w:hint="eastAsia" w:ascii="楷体_GB2312" w:hAnsi="楷体_GB2312" w:eastAsia="楷体_GB2312" w:cs="楷体_GB2312"/>
                <w:spacing w:val="-4"/>
                <w:sz w:val="28"/>
                <w:szCs w:val="28"/>
              </w:rPr>
              <w:t>6.北京白塔寺中尼文化节。</w:t>
            </w:r>
            <w:r>
              <w:rPr>
                <w:rFonts w:hint="eastAsia" w:ascii="仿宋_GB2312" w:hAnsi="仿宋_GB2312" w:cs="仿宋_GB2312"/>
                <w:spacing w:val="-4"/>
                <w:sz w:val="28"/>
                <w:szCs w:val="28"/>
              </w:rPr>
              <w:t>发挥北京白塔寺在中尼文化交流中的平台作用，聚合政府部门、社会组织、专家学者多方力量，定期举办中尼文化节并形成宣传品牌，服务北京国际交往中心建设。</w:t>
            </w:r>
          </w:p>
          <w:p>
            <w:pPr>
              <w:spacing w:line="520" w:lineRule="exact"/>
              <w:ind w:firstLine="544"/>
              <w:rPr>
                <w:rFonts w:ascii="仿宋_GB2312" w:hAnsi="仿宋_GB2312" w:cs="仿宋_GB2312"/>
                <w:sz w:val="28"/>
                <w:szCs w:val="28"/>
              </w:rPr>
            </w:pPr>
            <w:r>
              <w:rPr>
                <w:rFonts w:hint="eastAsia" w:ascii="楷体_GB2312" w:hAnsi="楷体_GB2312" w:eastAsia="楷体_GB2312" w:cs="楷体_GB2312"/>
                <w:spacing w:val="-4"/>
                <w:sz w:val="28"/>
                <w:szCs w:val="28"/>
              </w:rPr>
              <w:t>7.文物保护科研机构建设工程。</w:t>
            </w:r>
            <w:r>
              <w:rPr>
                <w:rFonts w:hint="eastAsia" w:ascii="仿宋_GB2312" w:hAnsi="仿宋_GB2312" w:cs="仿宋_GB2312"/>
                <w:sz w:val="28"/>
                <w:szCs w:val="28"/>
              </w:rPr>
              <w:t>挂牌8-10家北京市文物局重点科研基地（工作站），建设北京科技考古中心、文物科技鉴定中心、不可移动文物科技保护实验室和可移动文物保护修复中心，形成适应北京文物工作特点的科研机构矩阵。</w:t>
            </w:r>
          </w:p>
          <w:p>
            <w:pPr>
              <w:adjustRightInd w:val="0"/>
              <w:snapToGrid w:val="0"/>
              <w:spacing w:line="520" w:lineRule="exact"/>
              <w:ind w:firstLine="544"/>
              <w:rPr>
                <w:rFonts w:ascii="仿宋_GB2312" w:hAnsi="楷体" w:cs="Calibri"/>
                <w:sz w:val="28"/>
                <w:szCs w:val="28"/>
              </w:rPr>
            </w:pPr>
            <w:r>
              <w:rPr>
                <w:rFonts w:hint="eastAsia" w:ascii="楷体_GB2312" w:hAnsi="楷体_GB2312" w:eastAsia="楷体_GB2312" w:cs="楷体_GB2312"/>
                <w:spacing w:val="-4"/>
                <w:sz w:val="28"/>
                <w:szCs w:val="28"/>
              </w:rPr>
              <w:t>8.文博领域“四三二一”人才战略工程。</w:t>
            </w:r>
            <w:r>
              <w:rPr>
                <w:rFonts w:hint="eastAsia" w:ascii="仿宋_GB2312" w:hAnsi="仿宋_GB2312" w:cs="仿宋_GB2312"/>
                <w:sz w:val="28"/>
                <w:szCs w:val="28"/>
              </w:rPr>
              <w:t>重点打造文博领域领军人才、复合管理人才、专业技术人才、高技能人才四支队伍；实施“京鼎工程”“京博之星”“京博匠师”三项工程；落实《人力资源社会保障部 国家文物局关于进一步加强文博事业单位人事管理工作的指导意见》及《北京市深化文物博物专业人员职称制度改革实施办法》两份文件；积极搭建国际文博人才交流一个平台。</w:t>
            </w:r>
          </w:p>
        </w:tc>
        <w:bookmarkStart w:id="106" w:name="_Toc76742860"/>
        <w:bookmarkStart w:id="107" w:name="_Toc76742856"/>
        <w:bookmarkStart w:id="108" w:name="_Toc76742858"/>
        <w:bookmarkStart w:id="109" w:name="_Toc76742859"/>
        <w:bookmarkStart w:id="110" w:name="_Toc76742861"/>
      </w:tr>
      <w:bookmarkEnd w:id="80"/>
      <w:bookmarkEnd w:id="106"/>
      <w:bookmarkEnd w:id="107"/>
      <w:bookmarkEnd w:id="108"/>
      <w:bookmarkEnd w:id="109"/>
      <w:bookmarkEnd w:id="110"/>
    </w:tbl>
    <w:p>
      <w:pPr>
        <w:pStyle w:val="5"/>
        <w:keepNext/>
        <w:keepLines/>
        <w:pageBreakBefore w:val="0"/>
        <w:widowControl w:val="0"/>
        <w:kinsoku/>
        <w:wordWrap/>
        <w:overflowPunct/>
        <w:topLinePunct w:val="0"/>
        <w:autoSpaceDE/>
        <w:autoSpaceDN/>
        <w:bidi w:val="0"/>
        <w:adjustRightInd/>
        <w:snapToGrid/>
        <w:spacing w:before="469" w:beforeLines="150" w:after="312"/>
        <w:textAlignment w:val="auto"/>
      </w:pPr>
      <w:bookmarkStart w:id="111" w:name="_Toc58074366"/>
      <w:bookmarkStart w:id="112" w:name="_Toc713265352_WPSOffice_Level1"/>
      <w:bookmarkStart w:id="113" w:name="_Toc1382427377_WPSOffice_Level1"/>
      <w:r>
        <w:rPr>
          <w:rFonts w:hint="eastAsia"/>
        </w:rPr>
        <w:t>七、实施保障</w:t>
      </w:r>
      <w:bookmarkEnd w:id="111"/>
      <w:bookmarkEnd w:id="112"/>
      <w:bookmarkEnd w:id="113"/>
    </w:p>
    <w:p>
      <w:pPr>
        <w:pStyle w:val="6"/>
        <w:ind w:firstLine="643"/>
      </w:pPr>
      <w:bookmarkStart w:id="114" w:name="_Toc43846330"/>
      <w:bookmarkEnd w:id="114"/>
      <w:bookmarkStart w:id="115" w:name="_Toc58074367"/>
      <w:bookmarkEnd w:id="115"/>
      <w:bookmarkStart w:id="116" w:name="_Toc50369443"/>
      <w:bookmarkEnd w:id="116"/>
      <w:bookmarkStart w:id="117" w:name="_Toc1845652780_WPSOffice_Level2"/>
      <w:bookmarkStart w:id="118" w:name="_Toc1215926322_WPSOffice_Level2"/>
      <w:bookmarkStart w:id="119" w:name="_Toc76742862"/>
      <w:r>
        <w:rPr>
          <w:rFonts w:hint="eastAsia"/>
        </w:rPr>
        <w:t>（一）加强组织领导</w:t>
      </w:r>
      <w:bookmarkEnd w:id="117"/>
    </w:p>
    <w:p>
      <w:pPr>
        <w:widowControl/>
        <w:ind w:firstLine="640"/>
        <w:rPr>
          <w:rFonts w:ascii="仿宋_GB2312" w:hAnsi="仿宋_GB2312" w:cs="仿宋_GB2312"/>
          <w:color w:val="FF0000"/>
          <w:szCs w:val="32"/>
        </w:rPr>
      </w:pPr>
      <w:r>
        <w:rPr>
          <w:rFonts w:hint="eastAsia" w:ascii="仿宋_GB2312" w:hAnsi="仿宋_GB2312" w:cs="仿宋_GB2312"/>
          <w:szCs w:val="32"/>
        </w:rPr>
        <w:t>坚持党对文物工作的领导，</w:t>
      </w:r>
      <w:r>
        <w:rPr>
          <w:rFonts w:hint="eastAsia" w:ascii="宋体" w:hAnsi="宋体" w:cs="Calibri"/>
          <w:szCs w:val="32"/>
        </w:rPr>
        <w:t>发挥各级党委在文物工作中总揽全局、协调各方的领导作用，将文物工作列入</w:t>
      </w:r>
      <w:r>
        <w:rPr>
          <w:rFonts w:hint="eastAsia" w:ascii="仿宋_GB2312" w:hAnsi="仿宋_GB2312" w:cs="仿宋_GB2312"/>
          <w:szCs w:val="32"/>
        </w:rPr>
        <w:t>市推进全国文化中心建设领导小组和首都规划建设委员会的重要工作内容。各级政府履行文物工作主体责任，</w:t>
      </w:r>
      <w:r>
        <w:rPr>
          <w:rFonts w:hint="eastAsia" w:ascii="宋体" w:hAnsi="宋体" w:cs="Calibri"/>
          <w:szCs w:val="32"/>
        </w:rPr>
        <w:t>将文物保护和利用工作列入重要议事日程。各级文物行政部门依法履行监管责任，督促文物所有人</w:t>
      </w:r>
      <w:r>
        <w:rPr>
          <w:rFonts w:hint="eastAsia" w:ascii="宋体" w:hAnsi="宋体" w:cs="Calibri"/>
          <w:szCs w:val="32"/>
          <w:lang w:eastAsia="zh-CN"/>
        </w:rPr>
        <w:t>、</w:t>
      </w:r>
      <w:r>
        <w:rPr>
          <w:rFonts w:hint="eastAsia" w:ascii="宋体" w:hAnsi="宋体" w:cs="Calibri"/>
          <w:szCs w:val="32"/>
        </w:rPr>
        <w:t>使用人履行文物保护直接责任。</w:t>
      </w:r>
      <w:r>
        <w:rPr>
          <w:rFonts w:hint="eastAsia" w:ascii="仿宋_GB2312" w:hAnsi="仿宋_GB2312" w:cs="仿宋_GB2312"/>
          <w:szCs w:val="32"/>
        </w:rPr>
        <w:t>各级政府有关部门和单位依法履行所承担的文物保护监督管理职责，加强协调联动，形成文物保护利用的强大合力。</w:t>
      </w:r>
    </w:p>
    <w:p>
      <w:pPr>
        <w:adjustRightInd w:val="0"/>
        <w:snapToGrid w:val="0"/>
        <w:ind w:firstLine="640"/>
        <w:rPr>
          <w:rFonts w:ascii="仿宋_GB2312" w:hAnsi="仿宋_GB2312" w:cs="仿宋_GB2312"/>
          <w:szCs w:val="32"/>
        </w:rPr>
      </w:pPr>
      <w:r>
        <w:rPr>
          <w:rFonts w:hint="eastAsia" w:ascii="仿宋_GB2312" w:hAnsi="仿宋_GB2312" w:cs="仿宋_GB2312"/>
          <w:szCs w:val="32"/>
        </w:rPr>
        <w:t xml:space="preserve"> </w:t>
      </w:r>
    </w:p>
    <w:p>
      <w:pPr>
        <w:pStyle w:val="6"/>
        <w:ind w:firstLine="643"/>
      </w:pPr>
      <w:bookmarkStart w:id="120" w:name="_Toc695286305_WPSOffice_Level2"/>
      <w:r>
        <w:rPr>
          <w:rFonts w:hint="eastAsia"/>
        </w:rPr>
        <w:t>（二）保障资金投入</w:t>
      </w:r>
      <w:bookmarkEnd w:id="120"/>
    </w:p>
    <w:p>
      <w:pPr>
        <w:ind w:firstLine="640"/>
        <w:rPr>
          <w:rFonts w:ascii="仿宋_GB2312" w:hAnsi="仿宋_GB2312" w:cs="仿宋_GB2312"/>
          <w:szCs w:val="32"/>
        </w:rPr>
      </w:pPr>
      <w:r>
        <w:rPr>
          <w:rFonts w:hint="eastAsia" w:ascii="仿宋_GB2312" w:hAnsi="仿宋_GB2312" w:cs="仿宋_GB2312"/>
          <w:szCs w:val="32"/>
        </w:rPr>
        <w:t>完善市区两级财政文物保护投入机制，加强财政资金的引导作用。推动文物保护项目库建设，促进项目动态化管理。提升预算资源分配的科学性、合理性，优先保证重大项目支出。加强绩效评价工作，统筹文物及历史文化名城保护资金使用管理，适时调整公布文博领域政府购买服务指导性目录。鼓励社会资本投入文物保护利用，健全资本、技术、数据等要素配置机制，激发全社会参与文物保护的创新活力。</w:t>
      </w:r>
    </w:p>
    <w:p>
      <w:pPr>
        <w:adjustRightInd w:val="0"/>
        <w:snapToGrid w:val="0"/>
        <w:ind w:firstLine="640"/>
        <w:rPr>
          <w:rFonts w:ascii="仿宋_GB2312" w:hAnsi="仿宋_GB2312" w:cs="仿宋_GB2312"/>
          <w:kern w:val="0"/>
          <w:szCs w:val="32"/>
        </w:rPr>
      </w:pPr>
    </w:p>
    <w:p>
      <w:pPr>
        <w:pStyle w:val="6"/>
        <w:ind w:firstLine="643"/>
      </w:pPr>
      <w:bookmarkStart w:id="121" w:name="_Toc1929504138_WPSOffice_Level2"/>
      <w:r>
        <w:rPr>
          <w:rFonts w:hint="eastAsia"/>
        </w:rPr>
        <w:t>（三）强化法治保障</w:t>
      </w:r>
      <w:bookmarkEnd w:id="121"/>
    </w:p>
    <w:p>
      <w:pPr>
        <w:ind w:firstLine="640"/>
        <w:rPr>
          <w:rFonts w:ascii="仿宋_GB2312" w:hAnsi="仿宋_GB2312" w:cs="仿宋_GB2312"/>
          <w:szCs w:val="32"/>
        </w:rPr>
      </w:pPr>
      <w:r>
        <w:rPr>
          <w:rFonts w:hint="eastAsia" w:ascii="仿宋_GB2312" w:hAnsi="仿宋_GB2312" w:cs="仿宋_GB2312"/>
          <w:szCs w:val="32"/>
        </w:rPr>
        <w:t>夯实文物保护法治基础，深入推进依法行政，密切跟进国家立法调整，按照修订的《中华人民共和国文物保护法》，适时启动修订地方性法规规章，完善相关配套文件。加强行政规范性文件制发管理，坚持做好合法性审核和备案工作，完善规划执行、评估的法规基础。</w:t>
      </w:r>
    </w:p>
    <w:p>
      <w:pPr>
        <w:ind w:firstLine="640"/>
        <w:rPr>
          <w:rFonts w:ascii="仿宋_GB2312" w:hAnsi="仿宋_GB2312" w:cs="仿宋_GB2312"/>
          <w:szCs w:val="32"/>
        </w:rPr>
      </w:pPr>
      <w:r>
        <w:rPr>
          <w:rFonts w:hint="eastAsia" w:ascii="仿宋_GB2312" w:hAnsi="仿宋_GB2312" w:cs="仿宋_GB2312"/>
          <w:szCs w:val="32"/>
        </w:rPr>
        <w:t xml:space="preserve"> </w:t>
      </w:r>
    </w:p>
    <w:p>
      <w:pPr>
        <w:pStyle w:val="6"/>
        <w:ind w:firstLine="643"/>
      </w:pPr>
      <w:bookmarkStart w:id="122" w:name="_Toc460008808_WPSOffice_Level2"/>
      <w:r>
        <w:rPr>
          <w:rFonts w:hint="eastAsia"/>
        </w:rPr>
        <w:t>（四）完善监测评估</w:t>
      </w:r>
      <w:bookmarkEnd w:id="122"/>
      <w:r>
        <w:rPr>
          <w:rFonts w:hint="eastAsia"/>
        </w:rPr>
        <w:t xml:space="preserve"> </w:t>
      </w:r>
    </w:p>
    <w:p>
      <w:pPr>
        <w:ind w:firstLine="640"/>
        <w:rPr>
          <w:rFonts w:ascii="仿宋_GB2312" w:hAnsi="仿宋_GB2312" w:cs="仿宋_GB2312"/>
          <w:szCs w:val="32"/>
        </w:rPr>
      </w:pPr>
      <w:r>
        <w:rPr>
          <w:rFonts w:hint="eastAsia" w:ascii="仿宋_GB2312" w:hAnsi="仿宋_GB2312" w:cs="仿宋_GB2312"/>
          <w:szCs w:val="32"/>
        </w:rPr>
        <w:t>建立规划执行情况的监测、评估机制，开展规划实施的年度监测，组织规划实施的中期评估和期末评估，把监测评估结果作为改进文物工作和加强绩效考核的重要依据。</w:t>
      </w:r>
      <w:bookmarkEnd w:id="118"/>
      <w:bookmarkEnd w:id="119"/>
    </w:p>
    <w:sectPr>
      <w:footerReference r:id="rId8" w:type="default"/>
      <w:pgSz w:w="11906" w:h="16838"/>
      <w:pgMar w:top="1440" w:right="1800" w:bottom="1440" w:left="1800" w:header="851" w:footer="992" w:gutter="0"/>
      <w:pgNumType w:fmt="numberInDash"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经典黑体简">
    <w:altName w:val="黑体"/>
    <w:panose1 w:val="02010609000101010101"/>
    <w:charset w:val="86"/>
    <w:family w:val="auto"/>
    <w:pitch w:val="default"/>
    <w:sig w:usb0="00000000" w:usb1="00000000" w:usb2="0000001E" w:usb3="00000000" w:csb0="2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4897"/>
        <w:tab w:val="clear" w:pos="4153"/>
      </w:tabs>
      <w:ind w:firstLine="360"/>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ind w:firstLine="360"/>
                          </w:pPr>
                          <w:r>
                            <w:fldChar w:fldCharType="begin"/>
                          </w:r>
                          <w:r>
                            <w:instrText xml:space="preserve"> PAGE  \* MERGEFORMAT </w:instrText>
                          </w:r>
                          <w:r>
                            <w:fldChar w:fldCharType="separate"/>
                          </w:r>
                          <w:r>
                            <w:t>- 36 -</w:t>
                          </w:r>
                          <w:r>
                            <w:fldChar w:fldCharType="end"/>
                          </w:r>
                        </w:p>
                      </w:txbxContent>
                    </wps:txbx>
                    <wps:bodyPr vert="horz" wrap="none" lIns="0" tIns="0" rIns="0" bIns="0" anchor="t" anchorCtr="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YamWntAQAA1QMAAA4AAABkcnMvZTJvRG9jLnhtbK1TwY7TMBC9I/EP&#10;lu80aRGrKmq6WqgWISFAWvgA13EaS7bH8rhNygfAH3Diwp3v6nfs2Em7aLnsYS/JjGfmzbzn8ep6&#10;sIYdVEANrubzWcmZchIa7XY1//b19tWSM4zCNcKAUzU/KuTX65cvVr2v1AI6MI0KjEAcVr2veRej&#10;r4oCZaeswBl45SjYQrAikht2RRNET+jWFIuyvCp6CI0PIBUinW7GIJ8Qw1MAoW21VBuQe6tcHFGD&#10;MiISJey0R77O07atkvFz26KKzNScmMb8pSZkb9O3WK9EtQvCd1pOI4injPCIkxXaUdML1EZEwfZB&#10;/wdltQyA0MaZBFuMRLIixGJePtLmrhNeZS4kNfqL6Ph8sPLT4UtguqFN4MwJSxd++vXz9Pvv6c8P&#10;tkjy9B4ryrrzlBeHtzCk1Okc6TCxHtpg05/4MIqTuMeLuGqITKai5WK5LCkkKXZ2CKd4KPcB43sF&#10;liWj5oFuL4sqDh8xjqnnlNTNwa02hs5FZRzra371+k2ZCy4RAjcuJai8CxNMojSOnqw4bIeJzxaa&#10;I9Gk10HtOwjfOetpN2ru6ClwZj44kj6t0dkIZ2N7NoSTVFjzyNlovovjuu190LuOcOd5RPQ3+0gE&#10;Mq80xtib9EgO3XZWZtrMtE7/+jnr4TWu7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zSVju0AAA&#10;AAUBAAAPAAAAAAAAAAEAIAAAACIAAABkcnMvZG93bnJldi54bWxQSwECFAAUAAAACACHTuJAphqZ&#10;ae0BAADVAwAADgAAAAAAAAABACAAAAAfAQAAZHJzL2Uyb0RvYy54bWxQSwUGAAAAAAYABgBZAQAA&#10;fgUAAAAA&#10;">
              <v:fill on="f" focussize="0,0"/>
              <v:stroke on="f" weight="0.5pt"/>
              <v:imagedata o:title=""/>
              <o:lock v:ext="edit" aspectratio="f"/>
              <v:textbox inset="0mm,0mm,0mm,0mm" style="mso-fit-shape-to-text:t;">
                <w:txbxContent>
                  <w:p>
                    <w:pPr>
                      <w:pStyle w:val="9"/>
                      <w:ind w:firstLine="360"/>
                    </w:pPr>
                    <w:r>
                      <w:fldChar w:fldCharType="begin"/>
                    </w:r>
                    <w:r>
                      <w:instrText xml:space="preserve"> PAGE  \* MERGEFORMAT </w:instrText>
                    </w:r>
                    <w:r>
                      <w:fldChar w:fldCharType="separate"/>
                    </w:r>
                    <w:r>
                      <w:t>- 36 -</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line="240" w:lineRule="auto"/>
        <w:ind w:firstLine="640"/>
      </w:pPr>
      <w:r>
        <w:separator/>
      </w:r>
    </w:p>
  </w:footnote>
  <w:footnote w:type="continuationSeparator" w:id="3">
    <w:p>
      <w:pPr>
        <w:spacing w:line="240" w:lineRule="auto"/>
        <w:ind w:firstLine="640"/>
      </w:pPr>
      <w:r>
        <w:continuationSeparator/>
      </w:r>
    </w:p>
  </w:footnote>
  <w:footnote w:id="0">
    <w:p>
      <w:pPr>
        <w:pStyle w:val="11"/>
        <w:spacing w:line="240" w:lineRule="auto"/>
        <w:ind w:firstLine="360"/>
        <w:rPr>
          <w:rFonts w:ascii="仿宋_GB2312" w:hAnsi="仿宋_GB2312" w:cs="仿宋_GB2312"/>
        </w:rPr>
      </w:pPr>
      <w:r>
        <w:rPr>
          <w:rStyle w:val="16"/>
        </w:rPr>
        <w:footnoteRef/>
      </w:r>
      <w:r>
        <w:t xml:space="preserve"> </w:t>
      </w:r>
      <w:r>
        <w:rPr>
          <w:rFonts w:hint="eastAsia"/>
          <w:lang w:eastAsia="zh-CN"/>
        </w:rPr>
        <w:t>“</w:t>
      </w:r>
      <w:r>
        <w:rPr>
          <w:rFonts w:hint="eastAsia" w:ascii="仿宋_GB2312" w:hAnsi="仿宋_GB2312" w:cs="仿宋_GB2312"/>
        </w:rPr>
        <w:t>一轴</w:t>
      </w:r>
      <w:r>
        <w:rPr>
          <w:rFonts w:hint="eastAsia" w:ascii="仿宋_GB2312" w:hAnsi="仿宋_GB2312" w:cs="仿宋_GB2312"/>
          <w:lang w:eastAsia="zh-CN"/>
        </w:rPr>
        <w:t>”</w:t>
      </w:r>
      <w:r>
        <w:rPr>
          <w:rFonts w:hint="eastAsia" w:ascii="仿宋_GB2312" w:hAnsi="仿宋_GB2312" w:cs="仿宋_GB2312"/>
        </w:rPr>
        <w:t>指中轴线申遗保护，</w:t>
      </w:r>
      <w:r>
        <w:rPr>
          <w:rFonts w:hint="eastAsia" w:ascii="仿宋_GB2312" w:hAnsi="仿宋_GB2312" w:cs="仿宋_GB2312"/>
          <w:lang w:eastAsia="zh-CN"/>
        </w:rPr>
        <w:t>“</w:t>
      </w:r>
      <w:r>
        <w:rPr>
          <w:rFonts w:hint="eastAsia" w:ascii="仿宋_GB2312" w:hAnsi="仿宋_GB2312" w:cs="仿宋_GB2312"/>
        </w:rPr>
        <w:t>一城</w:t>
      </w:r>
      <w:r>
        <w:rPr>
          <w:rFonts w:hint="eastAsia" w:ascii="仿宋_GB2312" w:hAnsi="仿宋_GB2312" w:cs="仿宋_GB2312"/>
          <w:lang w:eastAsia="zh-CN"/>
        </w:rPr>
        <w:t>”</w:t>
      </w:r>
      <w:r>
        <w:rPr>
          <w:rFonts w:hint="eastAsia" w:ascii="仿宋_GB2312" w:hAnsi="仿宋_GB2312" w:cs="仿宋_GB2312"/>
        </w:rPr>
        <w:t>指博物馆之城，</w:t>
      </w:r>
      <w:r>
        <w:rPr>
          <w:rFonts w:hint="eastAsia" w:ascii="仿宋_GB2312" w:hAnsi="仿宋_GB2312" w:cs="仿宋_GB2312"/>
          <w:lang w:eastAsia="zh-CN"/>
        </w:rPr>
        <w:t>“</w:t>
      </w:r>
      <w:r>
        <w:rPr>
          <w:rFonts w:hint="eastAsia" w:ascii="仿宋_GB2312" w:hAnsi="仿宋_GB2312" w:cs="仿宋_GB2312"/>
        </w:rPr>
        <w:t>两园</w:t>
      </w:r>
      <w:r>
        <w:rPr>
          <w:rFonts w:hint="eastAsia" w:ascii="仿宋_GB2312" w:hAnsi="仿宋_GB2312" w:cs="仿宋_GB2312"/>
          <w:lang w:eastAsia="zh-CN"/>
        </w:rPr>
        <w:t>”</w:t>
      </w:r>
      <w:r>
        <w:rPr>
          <w:rFonts w:hint="eastAsia" w:ascii="仿宋_GB2312" w:hAnsi="仿宋_GB2312" w:cs="仿宋_GB2312"/>
        </w:rPr>
        <w:t>指长城、大运河国家文化公园（北京段），</w:t>
      </w:r>
      <w:r>
        <w:rPr>
          <w:rFonts w:hint="eastAsia" w:ascii="仿宋_GB2312" w:hAnsi="仿宋_GB2312" w:cs="仿宋_GB2312"/>
          <w:lang w:eastAsia="zh-CN"/>
        </w:rPr>
        <w:t>“</w:t>
      </w:r>
      <w:r>
        <w:rPr>
          <w:rFonts w:hint="eastAsia" w:ascii="仿宋_GB2312" w:hAnsi="仿宋_GB2312" w:cs="仿宋_GB2312"/>
        </w:rPr>
        <w:t>三带</w:t>
      </w:r>
      <w:r>
        <w:rPr>
          <w:rFonts w:hint="eastAsia" w:ascii="仿宋_GB2312" w:hAnsi="仿宋_GB2312" w:cs="仿宋_GB2312"/>
          <w:lang w:eastAsia="zh-CN"/>
        </w:rPr>
        <w:t>”</w:t>
      </w:r>
      <w:r>
        <w:rPr>
          <w:rFonts w:hint="eastAsia" w:ascii="仿宋_GB2312" w:hAnsi="仿宋_GB2312" w:cs="仿宋_GB2312"/>
        </w:rPr>
        <w:t>指大运河文化带、长城文化带、西山永定河文化带，</w:t>
      </w:r>
      <w:r>
        <w:rPr>
          <w:rFonts w:hint="eastAsia" w:ascii="仿宋_GB2312" w:hAnsi="仿宋_GB2312" w:cs="仿宋_GB2312"/>
          <w:lang w:eastAsia="zh-CN"/>
        </w:rPr>
        <w:t>“</w:t>
      </w:r>
      <w:r>
        <w:rPr>
          <w:rFonts w:hint="eastAsia" w:ascii="仿宋_GB2312" w:hAnsi="仿宋_GB2312" w:cs="仿宋_GB2312"/>
        </w:rPr>
        <w:t>一区</w:t>
      </w:r>
      <w:r>
        <w:rPr>
          <w:rFonts w:hint="eastAsia" w:ascii="仿宋_GB2312" w:hAnsi="仿宋_GB2312" w:cs="仿宋_GB2312"/>
          <w:lang w:eastAsia="zh-CN"/>
        </w:rPr>
        <w:t>”</w:t>
      </w:r>
      <w:r>
        <w:rPr>
          <w:rFonts w:hint="eastAsia" w:ascii="仿宋_GB2312" w:hAnsi="仿宋_GB2312" w:cs="仿宋_GB2312"/>
        </w:rPr>
        <w:t>指文物保护利用示范区，</w:t>
      </w:r>
      <w:r>
        <w:rPr>
          <w:rFonts w:hint="eastAsia" w:ascii="仿宋_GB2312" w:hAnsi="仿宋_GB2312" w:cs="仿宋_GB2312"/>
          <w:lang w:eastAsia="zh-CN"/>
        </w:rPr>
        <w:t>“</w:t>
      </w:r>
      <w:r>
        <w:rPr>
          <w:rFonts w:hint="eastAsia" w:ascii="仿宋_GB2312" w:hAnsi="仿宋_GB2312" w:cs="仿宋_GB2312"/>
        </w:rPr>
        <w:t>一中心</w:t>
      </w:r>
      <w:r>
        <w:rPr>
          <w:rFonts w:hint="eastAsia" w:ascii="仿宋_GB2312" w:hAnsi="仿宋_GB2312" w:cs="仿宋_GB2312"/>
          <w:lang w:eastAsia="zh-CN"/>
        </w:rPr>
        <w:t>”</w:t>
      </w:r>
      <w:r>
        <w:rPr>
          <w:rFonts w:hint="eastAsia" w:ascii="仿宋_GB2312" w:hAnsi="仿宋_GB2312" w:cs="仿宋_GB2312"/>
        </w:rPr>
        <w:t>指国际文物艺术品交易中心。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footnotePr>
    <w:footnote w:id="2"/>
    <w:footnote w:id="3"/>
  </w:footnotePr>
  <w:endnotePr>
    <w:endnote w:id="0"/>
    <w:endnote w:id="1"/>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1D7C55D"/>
    <w:rsid w:val="00004433"/>
    <w:rsid w:val="00015BD6"/>
    <w:rsid w:val="000224EA"/>
    <w:rsid w:val="00022A76"/>
    <w:rsid w:val="00023912"/>
    <w:rsid w:val="000301F4"/>
    <w:rsid w:val="00033909"/>
    <w:rsid w:val="00047BE8"/>
    <w:rsid w:val="00060482"/>
    <w:rsid w:val="000609F2"/>
    <w:rsid w:val="00082A8D"/>
    <w:rsid w:val="000B1C1D"/>
    <w:rsid w:val="000D2DC6"/>
    <w:rsid w:val="0010225C"/>
    <w:rsid w:val="001074E3"/>
    <w:rsid w:val="00110F15"/>
    <w:rsid w:val="001111E9"/>
    <w:rsid w:val="00127F2A"/>
    <w:rsid w:val="00130665"/>
    <w:rsid w:val="00130F1F"/>
    <w:rsid w:val="0013182C"/>
    <w:rsid w:val="00141327"/>
    <w:rsid w:val="001508DE"/>
    <w:rsid w:val="00151805"/>
    <w:rsid w:val="00166A17"/>
    <w:rsid w:val="001762A2"/>
    <w:rsid w:val="001774B6"/>
    <w:rsid w:val="00185420"/>
    <w:rsid w:val="001903FF"/>
    <w:rsid w:val="001B3315"/>
    <w:rsid w:val="001B6A5F"/>
    <w:rsid w:val="001D4643"/>
    <w:rsid w:val="001D53A6"/>
    <w:rsid w:val="001D546B"/>
    <w:rsid w:val="001E0124"/>
    <w:rsid w:val="001F1B53"/>
    <w:rsid w:val="001F5C41"/>
    <w:rsid w:val="00204069"/>
    <w:rsid w:val="002165D9"/>
    <w:rsid w:val="00225ECE"/>
    <w:rsid w:val="00230107"/>
    <w:rsid w:val="00242751"/>
    <w:rsid w:val="00255796"/>
    <w:rsid w:val="002777E2"/>
    <w:rsid w:val="002811CF"/>
    <w:rsid w:val="002850B2"/>
    <w:rsid w:val="002959A0"/>
    <w:rsid w:val="002979E6"/>
    <w:rsid w:val="002A0EBA"/>
    <w:rsid w:val="002C5020"/>
    <w:rsid w:val="002C769F"/>
    <w:rsid w:val="002C7EA4"/>
    <w:rsid w:val="002F137A"/>
    <w:rsid w:val="0030478A"/>
    <w:rsid w:val="00311ED2"/>
    <w:rsid w:val="00313ABF"/>
    <w:rsid w:val="00320A04"/>
    <w:rsid w:val="00333E9A"/>
    <w:rsid w:val="00352D4A"/>
    <w:rsid w:val="003568E0"/>
    <w:rsid w:val="00356C71"/>
    <w:rsid w:val="00366D6A"/>
    <w:rsid w:val="003737B3"/>
    <w:rsid w:val="003B3362"/>
    <w:rsid w:val="003C3D29"/>
    <w:rsid w:val="003F19B9"/>
    <w:rsid w:val="003F7576"/>
    <w:rsid w:val="00416B62"/>
    <w:rsid w:val="00420386"/>
    <w:rsid w:val="004216F1"/>
    <w:rsid w:val="0044405A"/>
    <w:rsid w:val="00447127"/>
    <w:rsid w:val="00455332"/>
    <w:rsid w:val="00460252"/>
    <w:rsid w:val="00461707"/>
    <w:rsid w:val="004756C2"/>
    <w:rsid w:val="00491082"/>
    <w:rsid w:val="00497A41"/>
    <w:rsid w:val="004A446A"/>
    <w:rsid w:val="004B15B0"/>
    <w:rsid w:val="004C2370"/>
    <w:rsid w:val="004E21BB"/>
    <w:rsid w:val="00510617"/>
    <w:rsid w:val="005122BF"/>
    <w:rsid w:val="00516553"/>
    <w:rsid w:val="00525442"/>
    <w:rsid w:val="0053496D"/>
    <w:rsid w:val="005459C1"/>
    <w:rsid w:val="005464C0"/>
    <w:rsid w:val="005470AA"/>
    <w:rsid w:val="0059238B"/>
    <w:rsid w:val="005966CD"/>
    <w:rsid w:val="005969DB"/>
    <w:rsid w:val="005A13F5"/>
    <w:rsid w:val="005D4004"/>
    <w:rsid w:val="005D65C5"/>
    <w:rsid w:val="005D6C1E"/>
    <w:rsid w:val="005F40D8"/>
    <w:rsid w:val="005F7ED6"/>
    <w:rsid w:val="006139FC"/>
    <w:rsid w:val="00626FB4"/>
    <w:rsid w:val="00627BA4"/>
    <w:rsid w:val="006360C1"/>
    <w:rsid w:val="0064540A"/>
    <w:rsid w:val="006709A0"/>
    <w:rsid w:val="00671B55"/>
    <w:rsid w:val="00671C28"/>
    <w:rsid w:val="00680E98"/>
    <w:rsid w:val="006832A6"/>
    <w:rsid w:val="006954E2"/>
    <w:rsid w:val="006A17F1"/>
    <w:rsid w:val="006A1B27"/>
    <w:rsid w:val="006B40CD"/>
    <w:rsid w:val="006C1CED"/>
    <w:rsid w:val="006F3EB1"/>
    <w:rsid w:val="006F55A5"/>
    <w:rsid w:val="00705078"/>
    <w:rsid w:val="00706206"/>
    <w:rsid w:val="00714FC0"/>
    <w:rsid w:val="00717902"/>
    <w:rsid w:val="00735E43"/>
    <w:rsid w:val="00744221"/>
    <w:rsid w:val="007825CF"/>
    <w:rsid w:val="00784639"/>
    <w:rsid w:val="00784D93"/>
    <w:rsid w:val="00787DD9"/>
    <w:rsid w:val="00795825"/>
    <w:rsid w:val="007A4512"/>
    <w:rsid w:val="007B4ED2"/>
    <w:rsid w:val="007C38A0"/>
    <w:rsid w:val="007F2C0E"/>
    <w:rsid w:val="0081165E"/>
    <w:rsid w:val="008368D2"/>
    <w:rsid w:val="00851643"/>
    <w:rsid w:val="00865365"/>
    <w:rsid w:val="00886C99"/>
    <w:rsid w:val="00892792"/>
    <w:rsid w:val="008A05D8"/>
    <w:rsid w:val="008A5D5C"/>
    <w:rsid w:val="008A6960"/>
    <w:rsid w:val="008C1C37"/>
    <w:rsid w:val="008C4AA0"/>
    <w:rsid w:val="008D0415"/>
    <w:rsid w:val="008E026C"/>
    <w:rsid w:val="008F1CDA"/>
    <w:rsid w:val="008F2DCB"/>
    <w:rsid w:val="009006AA"/>
    <w:rsid w:val="00905620"/>
    <w:rsid w:val="009230B0"/>
    <w:rsid w:val="00937D08"/>
    <w:rsid w:val="0094326A"/>
    <w:rsid w:val="00950B3F"/>
    <w:rsid w:val="00951CC1"/>
    <w:rsid w:val="00960669"/>
    <w:rsid w:val="009610AB"/>
    <w:rsid w:val="0098191F"/>
    <w:rsid w:val="00990071"/>
    <w:rsid w:val="00991E0F"/>
    <w:rsid w:val="009D046A"/>
    <w:rsid w:val="009D4650"/>
    <w:rsid w:val="009E375C"/>
    <w:rsid w:val="009E3CCD"/>
    <w:rsid w:val="009E76DB"/>
    <w:rsid w:val="00A06DB8"/>
    <w:rsid w:val="00A12513"/>
    <w:rsid w:val="00A2362D"/>
    <w:rsid w:val="00A57CEA"/>
    <w:rsid w:val="00A57E0A"/>
    <w:rsid w:val="00A702A5"/>
    <w:rsid w:val="00A709F8"/>
    <w:rsid w:val="00A7105B"/>
    <w:rsid w:val="00A77589"/>
    <w:rsid w:val="00A85E81"/>
    <w:rsid w:val="00AA25D3"/>
    <w:rsid w:val="00AD7E91"/>
    <w:rsid w:val="00AE7E5B"/>
    <w:rsid w:val="00AF09A0"/>
    <w:rsid w:val="00AF0CB0"/>
    <w:rsid w:val="00AF1BBE"/>
    <w:rsid w:val="00B02AF1"/>
    <w:rsid w:val="00B12347"/>
    <w:rsid w:val="00B26C57"/>
    <w:rsid w:val="00B31C05"/>
    <w:rsid w:val="00B80716"/>
    <w:rsid w:val="00BA23C3"/>
    <w:rsid w:val="00BB2189"/>
    <w:rsid w:val="00BF53D2"/>
    <w:rsid w:val="00C055A9"/>
    <w:rsid w:val="00C17FF4"/>
    <w:rsid w:val="00C42C20"/>
    <w:rsid w:val="00C96CD4"/>
    <w:rsid w:val="00CA510A"/>
    <w:rsid w:val="00CD22AD"/>
    <w:rsid w:val="00CE1004"/>
    <w:rsid w:val="00CE4B68"/>
    <w:rsid w:val="00CE5E60"/>
    <w:rsid w:val="00D07037"/>
    <w:rsid w:val="00D10F42"/>
    <w:rsid w:val="00D352A3"/>
    <w:rsid w:val="00D3759A"/>
    <w:rsid w:val="00D42C9B"/>
    <w:rsid w:val="00D507F5"/>
    <w:rsid w:val="00D6670F"/>
    <w:rsid w:val="00D774C0"/>
    <w:rsid w:val="00D77576"/>
    <w:rsid w:val="00DA517D"/>
    <w:rsid w:val="00DA740A"/>
    <w:rsid w:val="00DB24FC"/>
    <w:rsid w:val="00DB3A91"/>
    <w:rsid w:val="00DB3E84"/>
    <w:rsid w:val="00DF21A0"/>
    <w:rsid w:val="00DF45C7"/>
    <w:rsid w:val="00DF5CFD"/>
    <w:rsid w:val="00E03F3F"/>
    <w:rsid w:val="00E1410C"/>
    <w:rsid w:val="00E14861"/>
    <w:rsid w:val="00E24B7F"/>
    <w:rsid w:val="00E257CB"/>
    <w:rsid w:val="00E259AF"/>
    <w:rsid w:val="00E34EDE"/>
    <w:rsid w:val="00E35469"/>
    <w:rsid w:val="00E36FF7"/>
    <w:rsid w:val="00E371C8"/>
    <w:rsid w:val="00E40736"/>
    <w:rsid w:val="00E51BB3"/>
    <w:rsid w:val="00E6187B"/>
    <w:rsid w:val="00E67AF5"/>
    <w:rsid w:val="00E925A3"/>
    <w:rsid w:val="00E965B4"/>
    <w:rsid w:val="00E96605"/>
    <w:rsid w:val="00E9694E"/>
    <w:rsid w:val="00EC5729"/>
    <w:rsid w:val="00EF3BAE"/>
    <w:rsid w:val="00F22917"/>
    <w:rsid w:val="00F33883"/>
    <w:rsid w:val="00F33D58"/>
    <w:rsid w:val="00F3700C"/>
    <w:rsid w:val="00F4462D"/>
    <w:rsid w:val="00F5214F"/>
    <w:rsid w:val="00F70A7D"/>
    <w:rsid w:val="00F903F5"/>
    <w:rsid w:val="00F92B4F"/>
    <w:rsid w:val="00FD233C"/>
    <w:rsid w:val="00FF2D62"/>
    <w:rsid w:val="0D9A324E"/>
    <w:rsid w:val="0FA27C3D"/>
    <w:rsid w:val="10E22BE5"/>
    <w:rsid w:val="15CFC6A6"/>
    <w:rsid w:val="178309AE"/>
    <w:rsid w:val="1A455EBF"/>
    <w:rsid w:val="1F6C37D8"/>
    <w:rsid w:val="25DF58C8"/>
    <w:rsid w:val="2BE602AF"/>
    <w:rsid w:val="354F0EF4"/>
    <w:rsid w:val="37FB0CE5"/>
    <w:rsid w:val="3A230146"/>
    <w:rsid w:val="3B701C81"/>
    <w:rsid w:val="3DF87174"/>
    <w:rsid w:val="3F7DF674"/>
    <w:rsid w:val="3FDB6047"/>
    <w:rsid w:val="57F78C5F"/>
    <w:rsid w:val="589FD617"/>
    <w:rsid w:val="5C3B5E19"/>
    <w:rsid w:val="5D830467"/>
    <w:rsid w:val="5FA00F7E"/>
    <w:rsid w:val="5FCFF8DB"/>
    <w:rsid w:val="63BF4DE6"/>
    <w:rsid w:val="654C5A14"/>
    <w:rsid w:val="66AE099E"/>
    <w:rsid w:val="6D5BDDEF"/>
    <w:rsid w:val="6EC3E8A1"/>
    <w:rsid w:val="6F1B1229"/>
    <w:rsid w:val="777D04FE"/>
    <w:rsid w:val="77CF9E60"/>
    <w:rsid w:val="77DF2D36"/>
    <w:rsid w:val="77FA5259"/>
    <w:rsid w:val="7A724E7D"/>
    <w:rsid w:val="7B441896"/>
    <w:rsid w:val="7BDF1A1C"/>
    <w:rsid w:val="7BDFC31C"/>
    <w:rsid w:val="7CBDB097"/>
    <w:rsid w:val="7D9790A5"/>
    <w:rsid w:val="7DBEE634"/>
    <w:rsid w:val="7DD7244B"/>
    <w:rsid w:val="7F2D521C"/>
    <w:rsid w:val="7F737930"/>
    <w:rsid w:val="7FB33EB4"/>
    <w:rsid w:val="7FBA92C8"/>
    <w:rsid w:val="7FCE32F5"/>
    <w:rsid w:val="7FD70E6B"/>
    <w:rsid w:val="7FF750CF"/>
    <w:rsid w:val="8F97BACE"/>
    <w:rsid w:val="8FCFE8EE"/>
    <w:rsid w:val="93E6E3C6"/>
    <w:rsid w:val="965F29FC"/>
    <w:rsid w:val="9B1F2AAD"/>
    <w:rsid w:val="9EB60193"/>
    <w:rsid w:val="AFAE9350"/>
    <w:rsid w:val="AFB37D1D"/>
    <w:rsid w:val="AFBDECCF"/>
    <w:rsid w:val="AFFBA97B"/>
    <w:rsid w:val="BA7B23C6"/>
    <w:rsid w:val="BAF39D44"/>
    <w:rsid w:val="BCE54DC9"/>
    <w:rsid w:val="BFDE0E09"/>
    <w:rsid w:val="BFF796C6"/>
    <w:rsid w:val="C6EB9022"/>
    <w:rsid w:val="C87F54C1"/>
    <w:rsid w:val="D07B99C2"/>
    <w:rsid w:val="DBDC5CCF"/>
    <w:rsid w:val="DDBFAC44"/>
    <w:rsid w:val="DDEBD4EB"/>
    <w:rsid w:val="DEDAE263"/>
    <w:rsid w:val="DFB7CB22"/>
    <w:rsid w:val="DFEDB298"/>
    <w:rsid w:val="E1D7C55D"/>
    <w:rsid w:val="E7FB1436"/>
    <w:rsid w:val="ECFDCAE6"/>
    <w:rsid w:val="EDDF233C"/>
    <w:rsid w:val="EED2170B"/>
    <w:rsid w:val="EF2F18F9"/>
    <w:rsid w:val="EF6BF21F"/>
    <w:rsid w:val="F17F543B"/>
    <w:rsid w:val="F57B6526"/>
    <w:rsid w:val="F5BAE44C"/>
    <w:rsid w:val="F69B3C68"/>
    <w:rsid w:val="F91EF010"/>
    <w:rsid w:val="F9AE166A"/>
    <w:rsid w:val="FB3FACA5"/>
    <w:rsid w:val="FBF79675"/>
    <w:rsid w:val="FBFFD63E"/>
    <w:rsid w:val="FC6D9565"/>
    <w:rsid w:val="FD5ED1F1"/>
    <w:rsid w:val="FD778251"/>
    <w:rsid w:val="FDBF4529"/>
    <w:rsid w:val="FDD27BC4"/>
    <w:rsid w:val="FE89206A"/>
    <w:rsid w:val="FF6A7F08"/>
    <w:rsid w:val="FF6B08D5"/>
    <w:rsid w:val="FFD7579F"/>
    <w:rsid w:val="FFDFAD1B"/>
    <w:rsid w:val="FFE9313B"/>
    <w:rsid w:val="FFEBD3BB"/>
    <w:rsid w:val="FFFE070F"/>
    <w:rsid w:val="FFFF42A3"/>
    <w:rsid w:val="FFFF71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200" w:firstLineChars="200"/>
      <w:jc w:val="both"/>
    </w:pPr>
    <w:rPr>
      <w:rFonts w:ascii="Calibri" w:hAnsi="Calibri" w:eastAsia="仿宋_GB2312" w:cs="Times New Roman"/>
      <w:kern w:val="2"/>
      <w:sz w:val="32"/>
      <w:szCs w:val="24"/>
      <w:lang w:val="en-US" w:eastAsia="zh-CN" w:bidi="ar-SA"/>
    </w:rPr>
  </w:style>
  <w:style w:type="paragraph" w:styleId="4">
    <w:name w:val="heading 1"/>
    <w:basedOn w:val="1"/>
    <w:next w:val="1"/>
    <w:link w:val="18"/>
    <w:qFormat/>
    <w:uiPriority w:val="9"/>
    <w:pPr>
      <w:keepNext/>
      <w:keepLines/>
      <w:spacing w:before="340" w:after="330"/>
      <w:jc w:val="center"/>
      <w:outlineLvl w:val="0"/>
    </w:pPr>
    <w:rPr>
      <w:rFonts w:eastAsia="方正小标宋简体"/>
      <w:kern w:val="44"/>
      <w:sz w:val="48"/>
    </w:rPr>
  </w:style>
  <w:style w:type="paragraph" w:styleId="5">
    <w:name w:val="heading 2"/>
    <w:basedOn w:val="1"/>
    <w:next w:val="1"/>
    <w:link w:val="19"/>
    <w:unhideWhenUsed/>
    <w:qFormat/>
    <w:uiPriority w:val="9"/>
    <w:pPr>
      <w:keepNext/>
      <w:keepLines/>
      <w:spacing w:before="100" w:beforeLines="100" w:after="100" w:afterLines="100"/>
      <w:ind w:firstLine="0" w:firstLineChars="0"/>
      <w:jc w:val="center"/>
      <w:outlineLvl w:val="1"/>
    </w:pPr>
    <w:rPr>
      <w:rFonts w:ascii="Arial" w:hAnsi="Arial" w:eastAsia="经典黑体简"/>
      <w:sz w:val="36"/>
    </w:rPr>
  </w:style>
  <w:style w:type="paragraph" w:styleId="6">
    <w:name w:val="heading 3"/>
    <w:basedOn w:val="1"/>
    <w:next w:val="1"/>
    <w:link w:val="17"/>
    <w:unhideWhenUsed/>
    <w:qFormat/>
    <w:uiPriority w:val="9"/>
    <w:pPr>
      <w:keepNext/>
      <w:keepLines/>
      <w:ind w:firstLine="640"/>
      <w:outlineLvl w:val="2"/>
    </w:pPr>
    <w:rPr>
      <w:rFonts w:eastAsia="楷体_GB2312"/>
      <w:b/>
    </w:rPr>
  </w:style>
  <w:style w:type="paragraph" w:styleId="7">
    <w:name w:val="heading 4"/>
    <w:basedOn w:val="1"/>
    <w:next w:val="1"/>
    <w:unhideWhenUsed/>
    <w:qFormat/>
    <w:uiPriority w:val="9"/>
    <w:pPr>
      <w:keepNext/>
      <w:keepLines/>
      <w:outlineLvl w:val="3"/>
    </w:pPr>
    <w:rPr>
      <w:rFonts w:ascii="仿宋_GB2312" w:hAnsi="仿宋_GB2312" w:cs="仿宋_GB2312"/>
      <w:b/>
    </w:rPr>
  </w:style>
  <w:style w:type="paragraph" w:styleId="8">
    <w:name w:val="heading 5"/>
    <w:basedOn w:val="1"/>
    <w:next w:val="1"/>
    <w:unhideWhenUsed/>
    <w:qFormat/>
    <w:uiPriority w:val="0"/>
    <w:pPr>
      <w:keepNext/>
      <w:keepLines/>
      <w:spacing w:before="280" w:after="290" w:line="372" w:lineRule="auto"/>
      <w:outlineLvl w:val="4"/>
    </w:pPr>
    <w:rPr>
      <w:b/>
      <w:sz w:val="28"/>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line="460" w:lineRule="exact"/>
      <w:jc w:val="center"/>
    </w:pPr>
    <w:rPr>
      <w:rFonts w:ascii="Times New Roman" w:hAnsi="Times New Roman" w:eastAsia="宋体"/>
      <w:b/>
      <w:bCs/>
      <w:sz w:val="36"/>
    </w:rPr>
  </w:style>
  <w:style w:type="paragraph" w:customStyle="1" w:styleId="3">
    <w:name w:val="TOC 11"/>
    <w:next w:val="1"/>
    <w:qFormat/>
    <w:uiPriority w:val="0"/>
    <w:pPr>
      <w:wordWrap w:val="0"/>
      <w:jc w:val="both"/>
    </w:pPr>
    <w:rPr>
      <w:rFonts w:ascii="Calibri" w:hAnsi="Calibri" w:eastAsia="宋体" w:cs="Calibri"/>
      <w:sz w:val="21"/>
      <w:szCs w:val="22"/>
      <w:lang w:val="en-US" w:eastAsia="zh-CN" w:bidi="ar-SA"/>
    </w:rPr>
  </w:style>
  <w:style w:type="paragraph" w:styleId="9">
    <w:name w:val="footer"/>
    <w:basedOn w:val="1"/>
    <w:unhideWhenUsed/>
    <w:qFormat/>
    <w:uiPriority w:val="99"/>
    <w:pPr>
      <w:tabs>
        <w:tab w:val="center" w:pos="4153"/>
        <w:tab w:val="right" w:pos="8306"/>
      </w:tabs>
      <w:snapToGrid w:val="0"/>
      <w:jc w:val="left"/>
    </w:pPr>
    <w:rPr>
      <w:sz w:val="18"/>
      <w:szCs w:val="18"/>
    </w:rPr>
  </w:style>
  <w:style w:type="paragraph" w:styleId="10">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20"/>
    <w:unhideWhenUsed/>
    <w:qFormat/>
    <w:uiPriority w:val="99"/>
    <w:pPr>
      <w:snapToGrid w:val="0"/>
      <w:jc w:val="left"/>
    </w:pPr>
    <w:rPr>
      <w:sz w:val="18"/>
    </w:rPr>
  </w:style>
  <w:style w:type="paragraph" w:styleId="1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character" w:styleId="15">
    <w:name w:val="Hyperlink"/>
    <w:basedOn w:val="14"/>
    <w:qFormat/>
    <w:uiPriority w:val="0"/>
    <w:rPr>
      <w:color w:val="0000FF"/>
      <w:u w:val="single"/>
    </w:rPr>
  </w:style>
  <w:style w:type="character" w:styleId="16">
    <w:name w:val="footnote reference"/>
    <w:basedOn w:val="14"/>
    <w:unhideWhenUsed/>
    <w:qFormat/>
    <w:uiPriority w:val="99"/>
    <w:rPr>
      <w:vertAlign w:val="superscript"/>
    </w:rPr>
  </w:style>
  <w:style w:type="character" w:customStyle="1" w:styleId="17">
    <w:name w:val="标题 3 字符"/>
    <w:link w:val="6"/>
    <w:qFormat/>
    <w:uiPriority w:val="9"/>
    <w:rPr>
      <w:rFonts w:eastAsia="楷体_GB2312"/>
      <w:b/>
      <w:sz w:val="32"/>
    </w:rPr>
  </w:style>
  <w:style w:type="character" w:customStyle="1" w:styleId="18">
    <w:name w:val="标题 1 字符"/>
    <w:link w:val="4"/>
    <w:qFormat/>
    <w:uiPriority w:val="0"/>
    <w:rPr>
      <w:rFonts w:eastAsia="方正小标宋简体"/>
      <w:kern w:val="44"/>
      <w:sz w:val="48"/>
    </w:rPr>
  </w:style>
  <w:style w:type="character" w:customStyle="1" w:styleId="19">
    <w:name w:val="标题 2 字符"/>
    <w:link w:val="5"/>
    <w:qFormat/>
    <w:uiPriority w:val="9"/>
    <w:rPr>
      <w:rFonts w:ascii="Arial" w:hAnsi="Arial" w:eastAsia="经典黑体简"/>
      <w:kern w:val="2"/>
      <w:sz w:val="36"/>
      <w:szCs w:val="24"/>
    </w:rPr>
  </w:style>
  <w:style w:type="character" w:customStyle="1" w:styleId="20">
    <w:name w:val="脚注文本 字符"/>
    <w:basedOn w:val="14"/>
    <w:link w:val="11"/>
    <w:qFormat/>
    <w:uiPriority w:val="99"/>
    <w:rPr>
      <w:rFonts w:ascii="Calibri" w:hAnsi="Calibri" w:eastAsia="仿宋_GB2312"/>
      <w:kern w:val="2"/>
      <w:sz w:val="18"/>
      <w:szCs w:val="24"/>
    </w:rPr>
  </w:style>
  <w:style w:type="paragraph" w:customStyle="1" w:styleId="21">
    <w:name w:val="WPSOffice手动目录 1"/>
    <w:qFormat/>
    <w:uiPriority w:val="0"/>
    <w:rPr>
      <w:rFonts w:ascii="Calibri" w:hAnsi="Calibri" w:eastAsia="宋体" w:cs="Times New Roman"/>
      <w:lang w:val="en-US" w:eastAsia="zh-CN" w:bidi="ar-SA"/>
    </w:rPr>
  </w:style>
  <w:style w:type="paragraph" w:customStyle="1" w:styleId="22">
    <w:name w:val="WPSOffice手动目录 2"/>
    <w:qFormat/>
    <w:uiPriority w:val="0"/>
    <w:pPr>
      <w:ind w:left="200" w:leftChars="200"/>
    </w:pPr>
    <w:rPr>
      <w:rFonts w:ascii="Calibri" w:hAnsi="Calibri" w:eastAsia="宋体" w:cs="Times New Roman"/>
      <w:lang w:val="en-US" w:eastAsia="zh-CN" w:bidi="ar-SA"/>
    </w:rPr>
  </w:style>
  <w:style w:type="character" w:customStyle="1" w:styleId="23">
    <w:name w:val="未处理的提及1"/>
    <w:basedOn w:val="14"/>
    <w:unhideWhenUsed/>
    <w:qFormat/>
    <w:uiPriority w:val="99"/>
    <w:rPr>
      <w:color w:val="605E5C"/>
      <w:shd w:val="clear" w:color="auto" w:fill="E1DFDD"/>
    </w:rPr>
  </w:style>
  <w:style w:type="character" w:customStyle="1" w:styleId="24">
    <w:name w:val="NormalCharacter"/>
    <w:qFormat/>
    <w:uiPriority w:val="0"/>
  </w:style>
  <w:style w:type="paragraph" w:styleId="25">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38</Pages>
  <Words>3287</Words>
  <Characters>18742</Characters>
  <Lines>156</Lines>
  <Paragraphs>43</Paragraphs>
  <TotalTime>16</TotalTime>
  <ScaleCrop>false</ScaleCrop>
  <LinksUpToDate>false</LinksUpToDate>
  <CharactersWithSpaces>21986</CharactersWithSpaces>
  <Application>WPS Office_11.8.2.12251_F1E327BC-269C-435d-A152-05C5408002CA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2021-09-14T04:19:00Z</dcterms:created>
  <dc:creator>uos</dc:creator>
  <cp:lastModifiedBy>Mr.Lr</cp:lastModifiedBy>
  <cp:lastPrinted>2021-09-26T10:36:00Z</cp:lastPrinted>
  <dcterms:modified xsi:type="dcterms:W3CDTF">2024-04-07T09:10:38Z</dcterms:modified>
  <cp:revision>204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2052-11.8.2.12251</vt:lpwstr>
  </property>
  <property fmtid="{D5CDD505-2E9C-101B-9397-08002B2CF9AE}" pid="3" name="ICV">
    <vt:lpwstr>1127B61EA26647F3898E59D5F7DC93E7</vt:lpwstr>
  </property>
</Properties>
</file>